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ind w:left="0" w:right="0"/>
        <w:jc w:val="center"/>
        <w:rPr>
          <w:rFonts w:hint="eastAsia" w:ascii="微软雅黑" w:hAnsi="微软雅黑" w:eastAsia="微软雅黑" w:cs="微软雅黑"/>
          <w:b w:val="0"/>
          <w:bCs w:val="0"/>
          <w:color w:val="2772A1"/>
          <w:sz w:val="27"/>
          <w:szCs w:val="27"/>
        </w:rPr>
      </w:pPr>
      <w:r>
        <w:rPr>
          <w:rFonts w:hint="eastAsia" w:ascii="微软雅黑" w:hAnsi="微软雅黑" w:eastAsia="微软雅黑" w:cs="微软雅黑"/>
          <w:b w:val="0"/>
          <w:bCs w:val="0"/>
          <w:color w:val="2772A1"/>
          <w:sz w:val="27"/>
          <w:szCs w:val="27"/>
          <w:bdr w:val="none" w:color="auto" w:sz="0" w:space="0"/>
        </w:rPr>
        <w:t>大连商品交易所违规处理办法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color w:val="666666"/>
          <w:sz w:val="21"/>
          <w:szCs w:val="21"/>
        </w:rPr>
      </w:pPr>
      <w:r>
        <w:rPr>
          <w:rFonts w:hint="eastAsia" w:ascii="宋体" w:hAnsi="宋体" w:eastAsia="宋体" w:cs="宋体"/>
          <w:color w:val="333333"/>
          <w:sz w:val="18"/>
          <w:szCs w:val="18"/>
          <w:u w:val="none"/>
          <w:bdr w:val="none" w:color="auto" w:sz="0" w:space="0"/>
        </w:rPr>
        <w:drawing>
          <wp:inline distT="0" distB="0" distL="114300" distR="114300">
            <wp:extent cx="200025" cy="200025"/>
            <wp:effectExtent l="0" t="0" r="9525" b="9525"/>
            <wp:docPr id="3" name="图片 1" descr="IMG_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200025" cy="200025"/>
                    </a:xfrm>
                    <a:prstGeom prst="rect">
                      <a:avLst/>
                    </a:prstGeom>
                    <a:noFill/>
                    <a:ln w="9525">
                      <a:noFill/>
                    </a:ln>
                  </pic:spPr>
                </pic:pic>
              </a:graphicData>
            </a:graphic>
          </wp:inline>
        </w:drawing>
      </w:r>
      <w:r>
        <w:rPr>
          <w:rFonts w:hint="eastAsia" w:ascii="微软雅黑" w:hAnsi="微软雅黑" w:eastAsia="微软雅黑" w:cs="微软雅黑"/>
          <w:color w:val="333333"/>
          <w:sz w:val="21"/>
          <w:szCs w:val="21"/>
          <w:bdr w:val="none" w:color="auto" w:sz="0" w:space="0"/>
        </w:rPr>
        <w:t> </w:t>
      </w:r>
      <w:r>
        <w:rPr>
          <w:rFonts w:hint="eastAsia" w:ascii="宋体" w:hAnsi="宋体" w:eastAsia="宋体" w:cs="宋体"/>
          <w:color w:val="333333"/>
          <w:sz w:val="18"/>
          <w:szCs w:val="18"/>
          <w:u w:val="none"/>
          <w:bdr w:val="none" w:color="auto" w:sz="0" w:space="0"/>
        </w:rPr>
        <w:drawing>
          <wp:inline distT="0" distB="0" distL="114300" distR="114300">
            <wp:extent cx="200025" cy="200025"/>
            <wp:effectExtent l="0" t="0" r="9525" b="9525"/>
            <wp:docPr id="4" name="图片 2" descr="IMG_25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7"/>
                    <a:stretch>
                      <a:fillRect/>
                    </a:stretch>
                  </pic:blipFill>
                  <pic:spPr>
                    <a:xfrm>
                      <a:off x="0" y="0"/>
                      <a:ext cx="200025" cy="200025"/>
                    </a:xfrm>
                    <a:prstGeom prst="rect">
                      <a:avLst/>
                    </a:prstGeom>
                    <a:noFill/>
                    <a:ln w="9525">
                      <a:noFill/>
                    </a:ln>
                  </pic:spPr>
                </pic:pic>
              </a:graphicData>
            </a:graphic>
          </wp:inline>
        </w:drawing>
      </w:r>
      <w:r>
        <w:rPr>
          <w:rFonts w:hint="eastAsia" w:ascii="微软雅黑" w:hAnsi="微软雅黑" w:eastAsia="微软雅黑" w:cs="微软雅黑"/>
          <w:color w:val="333333"/>
          <w:sz w:val="21"/>
          <w:szCs w:val="21"/>
          <w:bdr w:val="none" w:color="auto" w:sz="0" w:space="0"/>
        </w:rPr>
        <w:t> </w:t>
      </w:r>
      <w:r>
        <w:rPr>
          <w:rFonts w:hint="eastAsia" w:ascii="宋体" w:hAnsi="宋体" w:eastAsia="宋体" w:cs="宋体"/>
          <w:color w:val="333333"/>
          <w:sz w:val="18"/>
          <w:szCs w:val="18"/>
          <w:u w:val="none"/>
          <w:bdr w:val="none" w:color="auto" w:sz="0" w:space="0"/>
        </w:rPr>
        <w:drawing>
          <wp:inline distT="0" distB="0" distL="114300" distR="114300">
            <wp:extent cx="200025" cy="200025"/>
            <wp:effectExtent l="0" t="0" r="9525" b="9525"/>
            <wp:docPr id="5" name="图片 3" descr="IMG_25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9"/>
                    <a:stretch>
                      <a:fillRect/>
                    </a:stretch>
                  </pic:blipFill>
                  <pic:spPr>
                    <a:xfrm>
                      <a:off x="0" y="0"/>
                      <a:ext cx="200025" cy="2000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（根据2025年1月7日</w:t>
      </w:r>
      <w:r>
        <w:rPr>
          <w:rFonts w:hint="eastAsia" w:ascii="微软雅黑" w:hAnsi="微软雅黑" w:eastAsia="微软雅黑" w:cs="微软雅黑"/>
          <w:i w:val="0"/>
          <w:iCs w:val="0"/>
          <w:caps w:val="0"/>
          <w:color w:val="333333"/>
          <w:spacing w:val="0"/>
          <w:sz w:val="21"/>
          <w:szCs w:val="21"/>
          <w:u w:val="none"/>
          <w:bdr w:val="none" w:color="auto" w:sz="0" w:space="0"/>
          <w:shd w:val="clear" w:fill="FFFFFF"/>
        </w:rPr>
        <w:fldChar w:fldCharType="begin"/>
      </w:r>
      <w:r>
        <w:rPr>
          <w:rFonts w:hint="eastAsia" w:ascii="微软雅黑" w:hAnsi="微软雅黑" w:eastAsia="微软雅黑" w:cs="微软雅黑"/>
          <w:i w:val="0"/>
          <w:iCs w:val="0"/>
          <w:caps w:val="0"/>
          <w:color w:val="333333"/>
          <w:spacing w:val="0"/>
          <w:sz w:val="21"/>
          <w:szCs w:val="21"/>
          <w:u w:val="none"/>
          <w:bdr w:val="none" w:color="auto" w:sz="0" w:space="0"/>
          <w:shd w:val="clear" w:fill="FFFFFF"/>
        </w:rPr>
        <w:instrText xml:space="preserve"> HYPERLINK "http://www.dce.com.cn/dalianshangpin/ywfw/jystz/ywtz/8627794/index.html" \t "http://www.dce.com.cn/dalianshangpin/fgfz/6142914/6142922/6146446/_blank" </w:instrText>
      </w:r>
      <w:r>
        <w:rPr>
          <w:rFonts w:hint="eastAsia" w:ascii="微软雅黑" w:hAnsi="微软雅黑" w:eastAsia="微软雅黑" w:cs="微软雅黑"/>
          <w:i w:val="0"/>
          <w:iCs w:val="0"/>
          <w:caps w:val="0"/>
          <w:color w:val="333333"/>
          <w:spacing w:val="0"/>
          <w:sz w:val="21"/>
          <w:szCs w:val="21"/>
          <w:u w:val="none"/>
          <w:bdr w:val="none" w:color="auto" w:sz="0" w:space="0"/>
          <w:shd w:val="clear" w:fill="FFFFFF"/>
        </w:rPr>
        <w:fldChar w:fldCharType="separate"/>
      </w:r>
      <w:r>
        <w:rPr>
          <w:rStyle w:val="6"/>
          <w:rFonts w:hint="eastAsia" w:ascii="微软雅黑" w:hAnsi="微软雅黑" w:eastAsia="微软雅黑" w:cs="微软雅黑"/>
          <w:i w:val="0"/>
          <w:iCs w:val="0"/>
          <w:caps w:val="0"/>
          <w:color w:val="2772A1"/>
          <w:spacing w:val="0"/>
          <w:sz w:val="21"/>
          <w:szCs w:val="21"/>
          <w:u w:val="none"/>
          <w:bdr w:val="none" w:color="auto" w:sz="0" w:space="0"/>
          <w:shd w:val="clear" w:fill="FFFFFF"/>
        </w:rPr>
        <w:t>《关于修改&lt;大连商品交易所结算管理办法&gt;和&lt;大连商品交易所违规处理办法&gt;的公告》（〔2025〕1号）</w:t>
      </w:r>
      <w:r>
        <w:rPr>
          <w:rFonts w:hint="eastAsia" w:ascii="微软雅黑" w:hAnsi="微软雅黑" w:eastAsia="微软雅黑" w:cs="微软雅黑"/>
          <w:i w:val="0"/>
          <w:iCs w:val="0"/>
          <w:caps w:val="0"/>
          <w:color w:val="333333"/>
          <w:spacing w:val="0"/>
          <w:sz w:val="21"/>
          <w:szCs w:val="21"/>
          <w:u w:val="none"/>
          <w:bdr w:val="none" w:color="auto" w:sz="0" w:space="0"/>
          <w:shd w:val="clear" w:fill="FFFFFF"/>
        </w:rPr>
        <w:fldChar w:fldCharType="end"/>
      </w:r>
      <w:r>
        <w:rPr>
          <w:rFonts w:hint="eastAsia" w:ascii="微软雅黑" w:hAnsi="微软雅黑" w:eastAsia="微软雅黑" w:cs="微软雅黑"/>
          <w:i w:val="0"/>
          <w:iCs w:val="0"/>
          <w:caps w:val="0"/>
          <w:color w:val="333333"/>
          <w:spacing w:val="0"/>
          <w:sz w:val="21"/>
          <w:szCs w:val="21"/>
          <w:bdr w:val="none" w:color="auto" w:sz="0" w:space="0"/>
          <w:shd w:val="clear" w:fill="FFFFFF"/>
        </w:rPr>
        <w:t>修改，自公布之日起施行。）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第一章  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第一条 为了加强期货市场管理，规范期货交易行为，保障期货市场参与者的合法权益，根据《大连商品交易所章程》《大连商品交易所交易规则》的有关规定，制定本办法。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第二条 本办法所称违规行为是指期货市场参与者及其工作人员违反大连商品交易所（以下简称交易所）章程、业务规则及其他有关规定的行为。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前款所称期货市场参与者包括：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（一）会员；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（二）境外特殊参与者；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（三）境外中介机构；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（四）做市商；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（五）客户；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（六）指定交割仓库、指定车板交割场所及其他交割服务机构；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（七）指定存管银行；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（八）指定质量检验机构；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（九）信息技术服务机构；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（十）交易所认定的期货市场其他参与者。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第三条 交易所根据公平、公正的原则，以事实为依据，对违规行为进行调查、认定和处理。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第四条 期货市场参与者的违规行为已经受到行政机关或者司法机关处罚的，交易所可以从轻、减轻或者免予处理。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第五条 从事交易所期货交易相关业务活动适用本办法。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第二章  稽查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第六条 稽查是指交易所根据业务规则及其他有关规定，对期货市场参与者的业务活动进行的检查和调查。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稽查可以通过现场或者非现场方式进行。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第七条 交易所进行稽查时，可以行使下列职权：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（一）查阅、复制与期货交易有关的信息、资料；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（二）要求期货市场参与者提供年报、第三方审计报告等；要求境外特殊参与者、境外中介机构或者境外客户提供境外监管机构出具的监管报告；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（三）对期货市场参与者进行调查、取证、约谈等；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（四）要求期货市场参与者申报、陈述、解释、说明有关情况；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（五）查询期货市场参与者期货业务相关的银行账户；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（六）检查期货市场参与者期货业务相关的交易、结算及财务等技术系统；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（七）制止、纠正、处理违规行为；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（八）法律、法规、规章及交易所章程、业务规则规定的其他职权。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第八条 期货市场参与者应当自觉接受交易所的监督管理，配合交易所稽查工作。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第九条 交易所可以根据业务规则以及其他有关规定，对期货市场参与者的业务活动进行定期和不定期的检查。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第十条 交易所建立投诉、举报机制。投诉、举报人应当身份真实、明确；投诉、举报人不愿公开其身份的，交易所应当为其保密。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第十一条 对日常监管工作中发现的、投诉举报的、期货监管部门及司法机关等单位移交的或者其他途径获得的线索进行审查后，认为涉嫌违规需要予以纪律处分的，交易所应当予以立案调查。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情节显著轻微、未对期货市场造成不良影响的，交易所可以对相关当事人采取列入重点监管名单、口头警示、出具书面警示函、监管谈话、要求提交书面承诺等自律管理措施。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第十二条 对已经立案的违规案件，交易所应当指定专人负责调查。调查取证应当由两名以上调查人员参加，并出示本人工作证或者交易所的证明文件。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第十三条 调查人员认为自己与本案有利害关系或者其他可能影响案件公正处理的，应当申请回避。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被调查人员认为调查人员与本案有关、可能影响公正办案的，有权申请有关人员回避。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交易所认为调查人员应当回避的，指令其回避。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调查人员的回避由交易所稽查部门负责人决定。稽查部门负责人的回避由交易所总经理决定。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第十四条 证据包括书证、物证、当事人陈述、证人证言、调查笔录、鉴定意见、视听资料、电子数据等能够证明案件真实情况的一切材料。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证据应当经过调查核实才能作为定案的根据。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第十五条 询问被调查人应当制作调查笔录。调查笔录应当交被调查人核对，核对无误后，被调查人和调查人员应当在笔录上签名。被调查人拒绝签名的，调查人员应当注明原因。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书证、物证、视听资料和电子数据等证据的提取应当制作提取笔录，注明提取的时间和地点，并由提供人签名或者盖章确认。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鉴定意见应当由中国证监会或者交易所认定的有权鉴定单位做出，并由鉴定单位和鉴定人盖章签字。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第十六条 调查人员在检查和调查过程中应当严格遵守保密制度，不得滥用职权。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期货市场参与者在接受交易所检查和调查过程中，应当严格履行保密义务。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第十七条 期货市场参与者涉嫌违法违规，经交易所立案调查的，在作出处理决定之前，为防止违规行为后果进一步扩大，确保违规案件处理决定的执行，交易所可以采取下列限制性措施：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（一）暂停开通新的交易编码；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（二）限制出金；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（三）限制入金；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（四）限制指定交割仓库或者指定车板交割场所等交割服务机构的交割业务、指定存管银行的存管业务或者信息技术服务机构的信息技术服务业务；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（五）降低持仓限额、套期保值持仓额度、套利持仓额度或者标准仓单持有限量；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（六）限制开仓；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（七）提高保证金标准；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（八）限期平仓；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（九）强行平仓。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交易所采取前款第七至九项措施后，应当及时报告中国证监会。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交易所采取限制性措施的，应当以书面、录音电话等可记录的方式通知处置对象，并说明采取限制性措施的依据。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第三章  违规处理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第十八条 有多种违规行为的，分别定性，数罚并用。多次违规的，从重或者加重处理。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单位实施本办法规定违规行为的，交易所可以对直接负责的主管人员和其他直接责任人员依照相关规定进行处理。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第十九条 期货公司会员具有下列违反经纪业务管理规定行为之一的，责令改正，没收违规所得，交易所可以根据情节轻重给予警告、通报批评、公开谴责、强行平仓、暂停开仓交易12个月以下、暂停部分期货或者期权业务、取消会员资格、宣布为“市场禁止进入者”的纪律处分；没有违规所得或者违规所得不满10万元的，可以并处50万元以下的罚款；违规所得10万元以上的，可以并处违规所得1倍以上5倍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（一）为未履行开户手续或者未按规定履行开户手续的客户进行期货交易的；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（二）违反交易编码管理制度的；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（三）未按规定履行审核义务，为不符合开户条件的客户办理开户手续的；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（四）未按规定履行交易者适当性管理义务的；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（五）未如实向客户说明期货交易的风险或者不签署风险声明书的；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（六）向客户作获利保证或者与客户私下约定分享盈利或者共担风险损失的；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（七）未按规定为自己或者他人交易的；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（八）未按客户的委托事项进行交易，故意阻止、延误或者改变客户下单指令，诱导、强制客户进行交易的；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（九）未将客户指令下达至交易所，私下对冲的；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（十）未将自有资金与客户资金分户存放的；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（十一）无正当理由拖延客户出入金的；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（十二）允许客户在保证金或者权利金不足时开仓交易，或者在期权买方客户资金不足时接受客户行权申请的；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（十三）挪用或者擅自允许他人挪用客户资金或者套用不同账户资金的；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（十四）故意制造或者散布虚假的或者容易使人误解的信息进行误导的；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（十五）泄露客户委托事项或者其他交易秘密的；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（十六）未按规定向客户提供有关成交结果、资金结算报表的；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（十七）违反中国证监会和交易所对经纪业务管理规定的其他行为。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第二十条 境外特殊经纪参与者具有下列违反经纪业务管理规定行为之一的，责令改正，没收违规所得，交易所可以根据情节轻重给予警告、通报批评、公开谴责、强行平仓、暂停开仓交易12个月以下、暂停部分期货或者期权业务、取消其资格、宣布为“市场禁止进入者”的纪律处分；没有违规所得或者违规所得不满10万元的，可以并处50万元以下的罚款；违规所得10万元以上的，可以并处违规所得1倍以上5倍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（一）为未履行开户手续或者未按规定履行开户手续的客户进行期货交易的；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（二）违反交易编码管理制度的；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（三）未按规定履行审核义务，为不符合开户条件的客户办理开户手续的；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（四）未按规定履行交易者适当性管理义务的；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（五）未如实向客户说明期货交易的风险或者不签署风险说明书的；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（六）未按规定为自己或者他人交易的；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（七）未按客户的委托事项进行交易，故意阻止、延误或者改变客户下单指令，诱导、强制客户进行交易的；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（八）未将客户交易指令下达至交易所，私下对冲的；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（九）未将自有资金与客户资金分户存放的；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（十）故意制造或者散布虚假的或者容易使人误解的信息进行误导的；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（十一）泄露客户委托事项或者其他交易秘密的；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（十二）未按规定向客户提供有关成交结果、资金结算报表的；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（十三）违反中国证监会和交易所对经纪业务管理规定的其他行为。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第二十一条 会员、境外特殊参与者具有下列行为之一的，责令改正，交易所可以根据情节轻重给予警告、通报批评、公开谴责、暂停开仓交易12个月以下、暂停部分期货或者期权业务、取消相应资格的纪律处分：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（一）未按交易所规定履行报告义务的；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（二）未按规定的期限要求向交易所报送财务报表等有关材料的；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（三）未按大户报告制度向交易所履行申报义务，或者作虚假报告、隐瞒不报的；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（四）未协助交易所对其客户采取限制性措施、纪律处分或者其他自律管理措施的；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（五）未按交易所规定及时缴纳年会费等有关费用的；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（六）未按规定保管有关交易、结算、交割、财务、会计等资料的；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（七）伪造、变造、买卖各种凭证或者审批文件的；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（八）私下转让或者处分会员、境外特殊参与者资格或者交易席位的；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（九）通过期货交易从事洗钱、恶意换汇等非法活动的；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（十）未按规定履行客户交易终端信息采集及接入认证义务的；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（十一）未按规定履行客户管理义务的；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（十二）未按规定履行境外中介机构备案义务的；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（十三）违反国家法律、法规、规章和违反交易所章程及有关规定的其他行为。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第二十二条 会员、境外特殊参与者无正当理由未在规定期限内执行强行平仓的，交易所可以根据情节轻重给予警告、通报批评、公开谴责、暂停开仓交易12个月以下、暂停部分期货或者期权业务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第二十三条 会员具有下列违反交易所结算管理规定行为之一的，责令改正，交易所可以根据情节轻重给予警告、通报批评、公开谴责、暂停开仓交易12个月以下、暂停部分期货或者期权业务、取消会员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（一）未按时足额缴纳保证金的；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（二）在结算报告书、交易月报表和其他结算文件资料中作不真实、不完整记载的；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（三）未按规定对保证金进行分账管理的；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（四）未按规定实行每日结算的；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（五）伪造、变造交易记录、会计报表、账册的；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（六）虚开发票及其他伪造票证的；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w:t>
      </w:r>
      <w:r>
        <w:rPr>
          <w:rFonts w:hint="eastAsia" w:ascii="微软雅黑" w:hAnsi="微软雅黑" w:eastAsia="微软雅黑" w:cs="微软雅黑"/>
          <w:i w:val="0"/>
          <w:iCs w:val="0"/>
          <w:caps w:val="0"/>
          <w:color w:val="000000"/>
          <w:spacing w:val="0"/>
          <w:sz w:val="21"/>
          <w:szCs w:val="21"/>
          <w:bdr w:val="none" w:color="auto" w:sz="0" w:space="0"/>
          <w:shd w:val="clear" w:fill="FFFFFF"/>
        </w:rPr>
        <w:t>未规范使用交易所减收的交易手续费的；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（八）违反交易所结算管理规定的其他行为。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第二十四条 境外中介机构具有下列情形之一的，责令改正，交易所可以根据情节轻重给予警告、通报批评、公开谴责、取消境外中介机构备案的纪律处分：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（一）拒不配合交易所对客户违规调查的；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（二）未按规定履行交易者适当性管理义务的；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（三）违反交易所关于境外中介机构的其他规定。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境外中介机构有上述情形之一且逾期未改正，或者涉嫌违法违规、出现重大风险，可能危及期货市场稳健运行、损害客户合法权益的，交易所可以要求期货公司会员、境外特殊经纪参与者暂停或者终止与该境外中介机构的委托业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境外中介机构被暂停或者终止与期货公司会员、境外特殊经纪参与者的委托代理业务后，不得代理新增客户或者开新仓；客户要求移仓至其他机构的，应当配合完成。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第二十五条 会员、境外特殊参与者、境外中介机构或者客户在套期保值、套利申报过程中提供或者协助提供虚假材料，或者违反交易所套期保值、套利交易其他管理规定的，责令改正，没收违规所得，交易所可以根据情节轻重给予警告、通报批评、公开谴责、暂停受理套期保值或者套利业务申请、调整或者取消套期保值或者套利持仓额度、暂停开仓交易12个月以下、暂停部分期货或者期权业务、强行平仓、取消相应资格、宣布为“市场禁止进入者”的纪律处分，可以并处其获准的套期保值持仓或者套利交易持仓总金额5%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第二十六条 非期货公司会员、境外特殊非经纪参与者、做市商或者客户等期货市场参与者具有下列违反交易所持仓管理规定行为之一的，责令改正，没收违规所得，交易所可以根据情节轻重给予警告、通报批评、公开谴责、强行平仓、暂停开仓交易12个月以下、暂停部分期货或者期权业务、取消相应资格的纪律处分，可以并处其违规持仓总金额5%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（一）利用分仓等不正当手段，规避交易所持仓限制的；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（二）持仓超限且被交易所强行平仓的，但因价格涨跌停板限制或者其他市场原因未能及时平仓的除外；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（三）多次在交割月份合约或者临近交割月份合约持仓超限的；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（四）违反交易所持仓管理规定的其他行为。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期货公司会员、境外特殊经纪参与者或者境外中介机构未及时、准确、完整地向客户传达交易所持仓管理规定的，交易所可以参照适用前款规定给予相应纪律处分。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第二十七条 非期货公司会员、境外特殊非经纪参与者、做市商或者客户等期货市场参与者利用不正当手段规避交易所交易限额制度，超限交易的，责令改正，没收违规所得，交易所可以根据情节轻重给予警告、通报批评、公开谴责、强行平仓、暂停开仓交易12个月以下、暂停部分期货或者期权业务、取消相应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第二十八条 非期货公司会员、境外特殊非经纪参与者、客户等期货市场参与者具有下列违反交易所实际控制关系账户管理规定行为之一的，责令改正，交易所可以根据情节轻重给予警告、通报批评、公开谴责、暂停开仓交易12个月以下、暂停部分期货或者期权业务、取消相应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（一）具有实际控制关系，但是拒不如实报备的；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（二）无正当理由拒不回复或者不如实回复交易所询问、调查，或者隐瞒事实真相、故意回避的；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（三）提供虚假材料申请解除实际控制关系的；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（四）违反交易所实际控制关系账户管理规定的其他行为。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会员、境外特殊经纪参与者、境外中介机构未履行对客户实际控制关系账户的管理职责，诱导或者协助客户提供虚假性材料、隐瞒事实真相的，交易所可以参照适用前款规定给予相应纪律处分。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第二十九条 期货市场参与者具有下列违反交易所信息管理、系统管理或者交易通讯等设施管理规定行为之一的，责令改正，没收违规所得，交易所可以根据情节轻重给予警告、通报批评、公开谴责、暂停开仓交易12个月以下、暂停部分期货或者期权业务、取消相应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（一）未经交易所许可，擅自发布交易所信息的；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（二）擅自使用其他会员席位交易或者通讯设施的；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（三）通过交易席位非法窃取他人的成交、结算资金、仓单信息等商业秘密的；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（四）破坏或者未按要求使用交易所交易、结算、交割、标准仓单管理系统，影响系统正常运作的；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（五）违反交易所信息系统接入管理规定的；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（六）违反交易所信息管理、系统管理或者交易通讯等设施管理规定的其他行为。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第三十条 会员、境外特殊参与者、境外中介机构、客户参与标准仓单业务时，违反交易所规定的，责令改正，交易所可以根据情节轻重给予警告、通报批评、公开谴责、暂停从事标准仓单业务、取消相应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第三十一条 期货市场参与者具有以下违反交易所交易编码管理规定行为之一的，责令改正，没收违规所得，交易所可以根据情节轻重给予警告、通报批评、公开谴责、强行平仓、暂停开仓交易12个月以下、暂停部分期货或者期权业务、取消相应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（一）提供或者协助提供虚假开户资料开户的；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（二）做市商通过出租、出借、委托做市等方式将做市交易编码交由他人使用，或者使用做市交易编码从事与做市无关的其他交易的；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（三）使用他人做市交易编码，代替他人做市的；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（四）盗取、骗取或者借用他人交易编码，实施违规行为的；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（五）出借或者未妥善保管交易编码，导致交易编码被他人使用实施违规行为的；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（六）违反交易所交易编码管理相关规定的其他行为。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第三十二条 期货市场参与者具有下列违反交易管理规定行为之一的，责令改正，没收违规所得，交易所可以根据情节轻重给予警告、通报批评、公开谴责、强行平仓、暂停开仓交易12个月以下、暂停部分期货或者期权业务、取消相应资格、宣布为“市场禁止进入者”的纪律处分；没有违规所得或者违规所得不满10万元的，可以并处50万元以下的罚款；违规所得10万元以上的，可以并处违规所得1倍以上5倍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（一）单独或者合谋，集中资金优势、持仓优势或者利用信息优势，连续或者联合买卖合约，影响或者企图影响期货交易价格或者期货交易量的；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（二）单独或者合谋，利用不正当手段，规避交易所的持仓限制，超限持仓，影响或者企图影响期货交易价格，或者扰乱市场秩序的；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（三）按照事先约定或者安排的时间、价格或者方式进行相互交易，影响或者企图影响期货交易价格或者期货交易量、转移资金、扰乱市场秩序或者谋取不正当利益的；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（四）不以成交为目的申报买卖合约，进行与申报方向相反的交易或者以其他方式谋取相关利益，影响或者企图影响期货交易价格或者期货交易量、误导其他市场参与者、增加系统负荷或者扰乱市场秩序的；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（五）在自己实际控制的账户之间发生相互交易，影响或者企图影响期货交易价格或者期货交易量、转移资金、扰乱市场秩序或者谋取不正当利益的；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期货交易内幕信息的知情人或者非法获取期货交易内幕信息的人，在对期货交易价格有重大影响的信息尚未公开前，利用内幕信息进行期货交易或者向他人泄露内幕信息，使他人利用内幕信息进行期货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（七）以囤积现货、虚占指定交割仓库库容或者控制大量标准仓单等方式，影响或者企图影响期货市场行情或者交割的；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（八）编造或者传播虚假信息、误导性信息或者不确定的重大信息，影响期货交易价格或者期货交易量，并进行相关交易或者谋取不正当利益的；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（九）通过对合约或者合约标的物作出公开评价、预测或者投资建议，影响期货交易价格或者期货交易量，并进行与其评价、预测或者投资建议方向相反的期货交易或者谋取不正当利益的；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（十）采取程序化交易方式下达交易指令，影响交易所系统安全或者扰乱正常交易秩序的；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（十一）以非善意的期转现行为，扰乱市场秩序的；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（十二）违反中国证监会和交易所有关交易管理规定，影响或者企图影响期货交易价格、期货交易量或者扰乱期货市场秩序的其他行为。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第三十三条 期货市场参与者编造或者传播虚假信息或者误导性信息，损害交易所声誉或者扰乱期货市场秩序的，责令改正，交易所可以根据情节轻重给予警告、通报批评、公开谴责、强行平仓、暂停开仓交易12个月以下、暂停部分期货或者期权业务、取消相应资格、宣布为“市场禁止进入者”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第三十四条 期货市场参与者具有下列情形之一的，交易所可以调整当日结算价和交割结算价：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（一）在自己实际控制的账户之间发生相互交易，严重影响当日结算价、交割结算价或者期权行权结果的；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（二）其他违规行为导致期货交易价格异常波动或者瞬间大幅度偏离市场价格，严重影响当日结算价、交割结算价或者期权行权结果的。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第三十五条 交易所调查发现期货市场参与者具有下列涉嫌违法行为之一的，应当及时报告中国证监会，提请立案稽查，并可以采取限制出金、暂停开仓交易等限制性措施：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（一）操纵市场的；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（二）内幕交易的；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（三）编造、传播虚假信息的；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（四）涉嫌违法的其他行为。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第三十六条 出市代表具有下列行为之一的，责令改正，交易所可以根据情节轻重给予警告、通报批评、公开谴责、暂停出市交易12个月以下、取消出市代表资格的纪律处分，可以并处1千元以上1万元以下的罚款：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（一）违反交易所有关交易大厅管理规定的；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（二）未按规定程序操作，给交易系统造成损害的；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（三）随意拆卸、搬动交易大厅内各种设备或私接电话和其他设备的；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（四）采取虚假、欺骗或者其他不正当手段骗取出市代表资格的；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（五）伪造、涂改、借用出市代表证件的；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（六）接受本单位以外的其他单位和个人的委托指令进行交易的。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出市代表实施本条第二项、第三项行为造成损害的，由其委派会员承担赔偿责任。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第三十七条 结算交割员具有下列行为之一的，责令改正，交易所可以根据情节轻重给予警告、通报批评、公开谴责、暂停结算交割员资格12个月以下、取消结算交割员资格的纪律处分，可以并处1千元以上1万元以下的罚款：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（一）采取虚假、欺骗或者其他不正当手段骗取结算交割员资格的；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（二）伪造、涂改、借用结算交割员证件的。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结算交割员所在会员单位有过错的，应当承担相应责任。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第三十八条 指定交割仓库具有下列行为之一的，责令改正，没收违规所得，交易所可以根据情节轻重给予警告、通报批评、公开谴责、暂停交割业务、取消指定交割仓库资格、宣布为“市场禁止进入者”的纪律处分；没有违规所得或者违规所得不满10万元的，可以并处50万元以下的罚款；违规所得10万元以上的，可以并处违规所得1倍以上5倍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（一）违反国家有关规定参与期货交易的；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（二）出具虚假仓单的；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（三）进行虚假性、误导性、故意隐瞒或者遗漏重要事实的申报、陈述、解释或者说明的；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（四）擅自移动、处理或者盗卖交割商品的；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（五）泄露与期货有关不宜公开的仓储信息或者散布虚假信息误导市场的；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（六）仓储场地变更、发生交割商品或者仓储设施等被司法机关查封、扣押或者交割商品严重受损、灭失等风险事件，未及时向交易所报告或者未按交易所要求向市场公告的；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（七）与他人联手，影响或企图影响期货市场价格的；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（八）标准仓单所示商品中有牌号、商标、规格、质量等混杂的；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（九）交割商品与单证不符的；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（十）交割商品没有或者缺少规定证明文件的；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（十一）交割商品的捆数、块数、包装要求和交易所规定不符的；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（十二）未完成规定的检验项目而开具仓单的；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（十三）未在标准仓单管理系统中对信息进行审核，或者未及时、有效维护库存等数据，造成严重后果的；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（十四）错收错发的；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（十五）因保管不当，引起储存商品变质、灭失的；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（十六）在搬运、装卸、堆码等作业过程中造成包装和商品损坏的；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（十七）商品交割中滥行收费的；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（十八）蓄意刁难，造成卖方或者买方违约的；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（十九）违反期货交割业务规则，限制、故意拖延交割商品的入库、出库的；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（二十）拒绝、阻挠交易所依法依规监督检查的；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（二十一）无正当理由未按照协议约定提供最低保证库容的；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（二十二）无正当理由不按时交货或者不配合指定质量检验机构检验的；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（二十三）违反中国证监会和交易所规定的其他行为。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指定车板交割场所等其他交割服务机构具有前款所列违规行为的，按照前款规定予以处理。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第三十九条 期货市场参与者在实物交割环节违约或者采用其他不正当手段，扰乱实物交割正常秩序的，责令改正，交易所可以根据情节轻重给予警告、通报批评、公开谴责、暂停开仓交易12个月以下、暂停部分期货或者期权业务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第四十条 指定质量检验机构具有下列行为之一的，责令改正，交易所可以根据情节轻重给予警告、通报批评、公开谴责、暂停指定检验业务、取消指定质量检验机构资格的纪律处分，可以并处50万元以下的罚款：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（一）违反有关规定计量检验的；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（二）出具、协助出具虚假检验报告的；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（三）无正当理由拒不配合指定交割仓库或者货主及时进行检验，影响正常入出库的；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（四）违反交易所有关指定质量检验机构管理规定的其他行为。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第四十一条 指定存管银行未履行《大连商品交易所结算管理办法》《大连商品交易所指定存管银行管理办法》等业务规则中指定存管银行相关义务的，责令改正，交易所可以根据情节轻重给予警告、通报批评、公开谴责、暂停部分存管业务、取消指定存管银行资格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第四十二条 期货市场参与者以各种手段扰乱交易管理秩序的，责令改正，交易所可以根据情节轻重给予警告、通报批评、公开谴责、暂停开仓交易12个月以下、暂停部分期货或者期权业务、取消相应资格、宣布为“市场禁止进入者”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第四十三条 期货市场参与者具有下列行为之一的，责令改正，交易所可以根据情节轻重给予警告、通报批评、公开谴责、暂停开仓交易12个月以下、暂停部分期货或者期权业务、取消相应资格、宣布为“市场禁止进入者”的纪律处分，可以并处50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（一）拒绝、阻碍、拖延等不配合交易所检查、调查，或者违反保密义务的；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（二）无正当理由未按交易所要求的时间、方式接受调查、检查、约谈的；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（三）进行虚假性、误导性或者遗漏重要事实的申报、陈述、解释或者说明，或者提供虚假的文件、资料或者信息的；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（四）不执行交易所纪律处分决定、限制性措施或者其他自律管理措施的；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（五）未遵守交易所风险警示制度有关规定或者整改要求的。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第四章  裁决与执行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第四十四条 交易所对违规行为核查后，事实清楚、证据确凿的，依照交易所章程、交易规则及本办法规定予以裁决，对实施违规行为的期货市场参与者进行纪律处分或者采取其他自律管理措施。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纪律处分由交易所作出决定并实施，其他自律管理措施由交易所或者交易所指定部门作出决定并实施。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第四十五条 交易所设立纪律处分审理机构，对拟进行纪律处分的违规案件进行审理。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第四十六条 交易所作出取消会员资格、取消境外特殊参与者资格、宣布为“市场禁止进入者”的纪律处分应当由交易所理事会决定。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第四十七条 交易所作出纪律处分裁决应当制作纪律处分决定书。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纪律处分决定书主要包括以下内容：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（一）当事人的姓名或者名称、住所；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（二）违规事实和证据；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（三）纪律处分种类和依据；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（四）纪律处分的履行方式和期限；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（五）不服纪律处分决定申请复核途径和期限；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（六）作出纪律处分决定的日期。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第四十八条 交易所应当将纪律处分决定书送达当事人，并抄报中国证监会。交易所可以直接或者委托其他机构送达纪律处分决定书，送达方式包括邮寄送达、数据电文送达和公告送达。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以邮寄方式送达的，自邮件寄出之日起，境内5个交易日、境外10个交易日即视为送达。以数据电文方式送达的，该数据电文进入当事人的特定系统即视为送达。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当事人下落不明、躲避或者规避送达、通过其他方式无法送达的，交易所可以在本所网站发布公告，自公告之日起满10个交易日即视为送达。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通过两种以上方式送达的，以最先送达之日为送达日期。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当事人的邮寄地址、传真号码、电话号码、电子邮箱等联系方式以期货市场统一开户系统留存为准。当事人留存联系方式不准确或者信息变更未书面告知交易所的，应当承担无法接收纪律处分决定书的相应后果。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交易所有关违规调查处理的文书、通知、材料等，可以参照前款规定进行送达。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第四十九条 交易所作出的纪律处分决定书自送达之日起生效。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当事人对纪律处分决定书不服的，可以于决定书生效之日起10个交易日内向交易所书面申请复核一次，复核期间不停止决定的执行。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第五十条 交易所应当于收到复核申请书之日起两个月内作出复核决定，复核决定为终局决定。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第五十一条 期货市场参与者应当履行或者配合履行交易所纪律处分决定。期货市场参与者不履行或者不配合履行纪律处分决定中相关义务的，交易所可以强制执行。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第五十二条 纪律处分决定中，具有罚没款项的，当事人应当在纪律处分决定书生效之日起5个交易日内将罚没款项如数缴纳至交易所指定账户。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对会员工作人员的罚没款项，由会员代缴；对指定交割仓库工作人员的罚没款项，由指定交割仓库代缴。指定交割仓库逾期不缴纳罚没款项的，交易所可以从其风险抵押金中扣划。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会员、境外特殊参与者、境外中介机构应当配合执行交易所对客户、做市商的纪律处分，划拨客户、做市商在该会员处的资金。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期货市场参与者逾期不缴纳罚没款项的，交易所可以对其采取暂停开仓交易、暂停部分期货或者期权业务等措施直至其缴纳罚没款项。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第五十三条 被交易所宣布为“市场禁止进入者”的，应当自宣布生效之日起20个交易日内清理原有持仓，了结交易业务，结清债权债务。未在规定时间内清理持仓的，交易所予以强行平仓。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被中国证监会或者其他期货交易所宣布为“市场禁止进入者”或者“不受市场欢迎的人”的，在市场禁止进入期限内不得从事交易所期货、期权业务，其在交易所的原有持仓参照前款规定处理。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第五十四条 交易所可以根据情况将对期货市场参与者实施的纪律处分通过交易所网站或者其他方式予以公布，并根据中国证监会有关规定记入证券期货市场诚信档案。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第五章  纠纷调解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第五十五条 期货市场参与者之间发生的期货业务纠纷可以自行协商解决，也可以提请交易所调解。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第五十六条 交易所的调解机构是交易所理事会下设的调解委员会，其常设办事机构设在交易所法律部门。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第五十七条 调解应当在事实清楚、责任明确的基础上依据国家有关期货交易的法律、法规和交易所的规章制度进行。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第五十八条 当事人申请调解应当符合下列条件：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（一）有调解申请书；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（二）有具体的事实、理由和请求；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（三）属于调解委员会的受理范围。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第五十九条 当事人向调解委员会申请调解，应当提交书面申请和有关材料。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调解申请书应当写明以下事项：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（一）当事人的姓名或者名称、身份证号或者统一社会信用代码、住所或者联系地址、电话等联系方式；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（二）请求调解的事实、理由及要求；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（三）有关证据。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第六十条 交易所调解委员会收到调解申请后，应当认真审查有关材料是否符合要求，并以书面方式通知当事人是否受理。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第六十一条 有下列情形之一的，交易所调解委员会不予受理：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（一）当事人已向人民法院起诉的；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（二）当事人已向仲裁机构申请仲裁的；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（三）当事人一方要求调解，另一方不愿意调解的；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（四）交易所调解委员会认定不予受理的其他情形。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第六十二条 交易所调解委员会应当自受理调解申请之日起两个月内完成调解。情况复杂，不能在规定期限内完成调解的，经双方当事人同意后，可以继续调解；双方当事人未达成继续调解事宜的，终止调解。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第六十三条 有下列情形之一的，交易所调解委员会可以终止调解：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（一）当事人不参加调解或者未经许可中途退出调解的；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（二）调解事项涉及第三人实体利益，且第三人不参加调解或者不同意调解结果的；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（三）调解期间，当事人就调解事项另行起诉或者申请仲裁的；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（四）调解期间一方当事人要求终止调解的；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（五）在规定的期间内未能达成调解协议的；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（六）调解委员会认为需要终止的其他情形。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第六十四条 当事人根据有关规定负有举证的责任。调解委员会认为必要时，可以调查收集证据。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第六十五条 调解委员会调解纠纷，应当在查明事实，分清是非和自愿的基础上调解，促使当事人相互谅解，达成协议。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第六十六条 经调解达成的协议应当记录在案，并制作调解书，由双方当事人签字，调解员署名，加盖调解委员会印章后生效。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第六十七条 调解不成的，当事人可以依法提请仲裁机构仲裁或者向人民法院起诉。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第六十八条 除具体条文另有规定外，本办法所称“期货市场”、“期货业务”、“期货交易”等包括期权相关活动。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本办法所称指定交割仓库包括指定仓库和指定厂库。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第六十九条 本办法所称“以上”、“以下”均含本数。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本办法中的货币单位为人民币元，涉及外币资金的，按照行为发生时的汇率折算人民币核定金额。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第七十条 本办法解释权属于大连商品交易所。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t>　　第七十一条 本办法自公布之日起实施。</w:t>
      </w:r>
    </w:p>
    <w:p>
      <w:pPr>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jc w:val="both"/>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B1760"/>
    <w:rsid w:val="0A111589"/>
    <w:rsid w:val="32EB1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javascript:doZoom(12)" TargetMode="External"/><Relationship Id="rId7" Type="http://schemas.openxmlformats.org/officeDocument/2006/relationships/image" Target="media/image2.jpeg"/><Relationship Id="rId6" Type="http://schemas.openxmlformats.org/officeDocument/2006/relationships/hyperlink" Target="javascript:doZoom(14)" TargetMode="External"/><Relationship Id="rId5" Type="http://schemas.openxmlformats.org/officeDocument/2006/relationships/image" Target="media/image1.jpeg"/><Relationship Id="rId4" Type="http://schemas.openxmlformats.org/officeDocument/2006/relationships/hyperlink" Target="javascript:doZoom(16)" TargetMode="Externa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2024-01-29T01:04:00Z</dcterms:created>
  <dc:creator>LYC</dc:creator>
  <cp:lastModifiedBy>LYC</cp:lastModifiedBy>
  <dcterms:modified xsi:type="dcterms:W3CDTF">2025-06-06T06:48:59Z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2052-11.8.2.12072</vt:lpwstr>
  </property>
  <property fmtid="{D5CDD505-2E9C-101B-9397-08002B2CF9AE}" pid="3" name="ICV">
    <vt:lpwstr>03968AD5F59C41CC81C51837F9191F52</vt:lpwstr>
  </property>
</Properties>
</file>