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中信建投期货有限公司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普通投资者申请专业投资者评估测试题</w:t>
      </w:r>
    </w:p>
    <w:p>
      <w:pPr>
        <w:jc w:val="left"/>
        <w:rPr>
          <w:rFonts w:hint="eastAsia"/>
          <w:lang w:val="en-US" w:eastAsia="zh-CN"/>
        </w:rPr>
      </w:pPr>
      <w:bookmarkStart w:id="0" w:name="_GoBack"/>
      <w:bookmarkEnd w:id="0"/>
    </w:p>
    <w:p>
      <w:pPr>
        <w:spacing w:after="313" w:afterLines="1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投资者名称：_______________    身份证明文件号码：____________________</w:t>
      </w:r>
    </w:p>
    <w:p>
      <w:pPr>
        <w:spacing w:after="0" w:afterLine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答题卡（答对14题及以上为通过测试）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6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6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6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06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06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06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06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06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06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06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06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06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spacing w:after="157" w:afterLines="5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是否通过：_____________     测试时间：_____________    </w:t>
      </w:r>
    </w:p>
    <w:p>
      <w:pPr>
        <w:spacing w:after="157" w:afterLines="5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受理部门：_____________________     经办人：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</w:t>
      </w:r>
    </w:p>
    <w:p>
      <w:pPr>
        <w:spacing w:after="157" w:afterLines="5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题目：</w:t>
      </w:r>
    </w:p>
    <w:p>
      <w:pPr>
        <w:pStyle w:val="10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中国人民银行频繁调整存款准备金率的主要目的是（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）。</w:t>
      </w:r>
    </w:p>
    <w:p>
      <w:pPr>
        <w:pStyle w:val="10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A．控制货币供应量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B．加强投资需求</w:t>
      </w:r>
    </w:p>
    <w:p>
      <w:pPr>
        <w:pStyle w:val="10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C．抑制居民消费需求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D．控制人民币汇率波动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10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场内金融工具的特点不包括（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>
      <w:pPr>
        <w:pStyle w:val="10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A．通常是标准化的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B．在交易所交易</w:t>
      </w:r>
    </w:p>
    <w:p>
      <w:pPr>
        <w:pStyle w:val="10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C．有较好的流动性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D．交易成本较高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3、期货价格的基本面分析有着各种不同的方法，其实质是（    ）。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A</w:t>
      </w:r>
      <w:r>
        <w:rPr>
          <w:rFonts w:hint="eastAsia" w:ascii="宋体" w:hAnsi="宋体" w:eastAsia="宋体" w:cs="宋体"/>
          <w:sz w:val="24"/>
          <w:szCs w:val="24"/>
        </w:rPr>
        <w:t>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分析影响供求的各种因素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B</w:t>
      </w:r>
      <w:r>
        <w:rPr>
          <w:rFonts w:hint="eastAsia" w:ascii="宋体" w:hAnsi="宋体" w:eastAsia="宋体" w:cs="宋体"/>
          <w:sz w:val="24"/>
          <w:szCs w:val="24"/>
        </w:rPr>
        <w:t>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根据历史价格预测未来价格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C</w:t>
      </w:r>
      <w:r>
        <w:rPr>
          <w:rFonts w:hint="eastAsia" w:ascii="宋体" w:hAnsi="宋体" w:eastAsia="宋体" w:cs="宋体"/>
          <w:sz w:val="24"/>
          <w:szCs w:val="24"/>
        </w:rPr>
        <w:t>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综合分析交易量和交易价格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D</w:t>
      </w:r>
      <w:r>
        <w:rPr>
          <w:rFonts w:hint="eastAsia" w:ascii="宋体" w:hAnsi="宋体" w:eastAsia="宋体" w:cs="宋体"/>
          <w:sz w:val="24"/>
          <w:szCs w:val="24"/>
        </w:rPr>
        <w:t>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分析标的物的内在价值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4、期货交易之所以具有高收益和高风险的特定，是因为它的（    ）。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A</w:t>
      </w:r>
      <w:r>
        <w:rPr>
          <w:rFonts w:hint="eastAsia" w:ascii="宋体" w:hAnsi="宋体" w:eastAsia="宋体" w:cs="宋体"/>
          <w:sz w:val="24"/>
          <w:szCs w:val="24"/>
        </w:rPr>
        <w:t>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合约标准化    B</w:t>
      </w:r>
      <w:r>
        <w:rPr>
          <w:rFonts w:hint="eastAsia" w:ascii="宋体" w:hAnsi="宋体" w:eastAsia="宋体" w:cs="宋体"/>
          <w:sz w:val="24"/>
          <w:szCs w:val="24"/>
        </w:rPr>
        <w:t>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交易集中化   C</w:t>
      </w:r>
      <w:r>
        <w:rPr>
          <w:rFonts w:hint="eastAsia" w:ascii="宋体" w:hAnsi="宋体" w:eastAsia="宋体" w:cs="宋体"/>
          <w:sz w:val="24"/>
          <w:szCs w:val="24"/>
        </w:rPr>
        <w:t>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双向交易和对冲机制    D</w:t>
      </w:r>
      <w:r>
        <w:rPr>
          <w:rFonts w:hint="eastAsia" w:ascii="宋体" w:hAnsi="宋体" w:eastAsia="宋体" w:cs="宋体"/>
          <w:sz w:val="24"/>
          <w:szCs w:val="24"/>
        </w:rPr>
        <w:t>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杠杆机制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sz w:val="24"/>
          <w:szCs w:val="24"/>
        </w:rPr>
        <w:t xml:space="preserve">股票指数的编制方法不包括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   )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A．算术平均法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B．加权平均法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C．几何平均法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 xml:space="preserve">D．累乘法   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10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sz w:val="24"/>
          <w:szCs w:val="24"/>
        </w:rPr>
        <w:t>从债券的特征来看，债券区别于股票的最主要的特征是债券具有（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 xml:space="preserve"> ）。</w:t>
      </w:r>
    </w:p>
    <w:p>
      <w:pPr>
        <w:pStyle w:val="10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A．偿还性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B．流动性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C．安全性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D．收益性</w:t>
      </w:r>
    </w:p>
    <w:p>
      <w:pPr>
        <w:pStyle w:val="10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0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sz w:val="24"/>
          <w:szCs w:val="24"/>
        </w:rPr>
        <w:t>下列投资风险中，属于系统性风险的是（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>
      <w:pPr>
        <w:pStyle w:val="10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A．财务风险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B．信用风险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C．购买力风险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D．经营风险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10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</w:t>
      </w:r>
      <w:r>
        <w:rPr>
          <w:rFonts w:hint="eastAsia" w:ascii="宋体" w:hAnsi="宋体" w:eastAsia="宋体" w:cs="宋体"/>
          <w:sz w:val="24"/>
          <w:szCs w:val="24"/>
        </w:rPr>
        <w:t>下列属于基金投资交易过程中的风险是（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>
      <w:pPr>
        <w:pStyle w:val="10"/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A．投资组合风险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B．汇率风险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C．利率风险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D．市场风险</w:t>
      </w:r>
    </w:p>
    <w:p>
      <w:pPr>
        <w:pStyle w:val="10"/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10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宋体"/>
          <w:sz w:val="24"/>
          <w:szCs w:val="24"/>
        </w:rPr>
        <w:t>过去一年内基金A的最大回撤为25%，基金B的最大回撤为9%，则以下表述错误的是（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>
      <w:pPr>
        <w:pStyle w:val="10"/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A．过去一年内基金A可实现的最大损失为25%</w:t>
      </w:r>
    </w:p>
    <w:p>
      <w:pPr>
        <w:pStyle w:val="10"/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B．基金A与基金B的最大回撤不可比</w:t>
      </w:r>
    </w:p>
    <w:p>
      <w:pPr>
        <w:pStyle w:val="10"/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C．基金A面临的可能损失比基金B大</w:t>
      </w:r>
    </w:p>
    <w:p>
      <w:pPr>
        <w:pStyle w:val="10"/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D．过去一年内及基金B可实现的最大损失为9%</w:t>
      </w:r>
    </w:p>
    <w:p>
      <w:pPr>
        <w:pStyle w:val="10"/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</w:p>
    <w:p>
      <w:pPr>
        <w:pStyle w:val="10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10、</w:t>
      </w:r>
      <w:r>
        <w:rPr>
          <w:rFonts w:hint="eastAsia" w:ascii="宋体" w:hAnsi="宋体" w:eastAsia="宋体" w:cs="宋体"/>
          <w:sz w:val="24"/>
          <w:szCs w:val="24"/>
        </w:rPr>
        <w:t>某基金根据历史数据计算出来的贝塔系数为1.3，以下表述错误的是（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>
      <w:pPr>
        <w:pStyle w:val="10"/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A．该基金的净值变动方向与市场一致</w:t>
      </w:r>
    </w:p>
    <w:p>
      <w:pPr>
        <w:pStyle w:val="10"/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B．当市场上涨1%时，该基金净值上涨幅度为1.3%</w:t>
      </w:r>
    </w:p>
    <w:p>
      <w:pPr>
        <w:pStyle w:val="10"/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C．该基金对市场变化的敏感度不高</w:t>
      </w:r>
    </w:p>
    <w:p>
      <w:pPr>
        <w:pStyle w:val="10"/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D．该基金的净值变动幅度比市场大</w:t>
      </w:r>
    </w:p>
    <w:p>
      <w:pPr>
        <w:pStyle w:val="10"/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11、</w:t>
      </w:r>
      <w:r>
        <w:rPr>
          <w:rFonts w:hint="eastAsia" w:ascii="宋体" w:hAnsi="宋体" w:eastAsia="宋体" w:cs="宋体"/>
          <w:sz w:val="24"/>
          <w:szCs w:val="24"/>
        </w:rPr>
        <w:t>下列关于“一篮子可交割国债”的说法中，错误的是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A．增强价格的抗操纵性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B．降低交割时的逼仓风险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C．扩大可交割国债的范围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D．将票面利率和剩余期限标准化   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是在期货市场和现货市场之间建立一种盈亏对冲的机制。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A</w:t>
      </w:r>
      <w:r>
        <w:rPr>
          <w:rFonts w:hint="eastAsia" w:ascii="宋体" w:hAnsi="宋体" w:eastAsia="宋体" w:cs="宋体"/>
          <w:sz w:val="24"/>
          <w:szCs w:val="24"/>
        </w:rPr>
        <w:t>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套期保值       B</w:t>
      </w:r>
      <w:r>
        <w:rPr>
          <w:rFonts w:hint="eastAsia" w:ascii="宋体" w:hAnsi="宋体" w:eastAsia="宋体" w:cs="宋体"/>
          <w:sz w:val="24"/>
          <w:szCs w:val="24"/>
        </w:rPr>
        <w:t>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保证金制度       C</w:t>
      </w:r>
      <w:r>
        <w:rPr>
          <w:rFonts w:hint="eastAsia" w:ascii="宋体" w:hAnsi="宋体" w:eastAsia="宋体" w:cs="宋体"/>
          <w:sz w:val="24"/>
          <w:szCs w:val="24"/>
        </w:rPr>
        <w:t>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实物交割        D</w:t>
      </w:r>
      <w:r>
        <w:rPr>
          <w:rFonts w:hint="eastAsia" w:ascii="宋体" w:hAnsi="宋体" w:eastAsia="宋体" w:cs="宋体"/>
          <w:sz w:val="24"/>
          <w:szCs w:val="24"/>
        </w:rPr>
        <w:t>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发现价格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13、</w:t>
      </w:r>
      <w:r>
        <w:rPr>
          <w:rFonts w:hint="eastAsia" w:ascii="宋体" w:hAnsi="宋体" w:eastAsia="宋体" w:cs="宋体"/>
          <w:sz w:val="24"/>
          <w:szCs w:val="24"/>
        </w:rPr>
        <w:t>企业通过同期保值，可以降低（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）对企业经营活动的影响，实现稳健经营。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A．操作风险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B．法律风险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C．政治风险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D．价格风险   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14、期货合约</w:t>
      </w:r>
      <w:r>
        <w:rPr>
          <w:rFonts w:hint="eastAsia" w:ascii="宋体" w:hAnsi="宋体" w:eastAsia="宋体" w:cs="宋体"/>
          <w:sz w:val="24"/>
          <w:szCs w:val="24"/>
        </w:rPr>
        <w:t>临近交割时，持仓限额及持仓报告标准设置得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B．高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C．根据价格变动情况而定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 xml:space="preserve">D．与交割月份远近无关      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10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15、</w:t>
      </w:r>
      <w:r>
        <w:rPr>
          <w:rFonts w:hint="eastAsia" w:ascii="宋体" w:hAnsi="宋体" w:eastAsia="宋体" w:cs="宋体"/>
          <w:sz w:val="24"/>
          <w:szCs w:val="24"/>
        </w:rPr>
        <w:t xml:space="preserve">金融期权交易实际上是一种权利的（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）有偿让渡。</w:t>
      </w:r>
    </w:p>
    <w:p>
      <w:pPr>
        <w:pStyle w:val="10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A．双方面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B．单方面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C．多方面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D．互相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16、某投资者买入一份看涨期权，在某一时点，该期权的标的资产市场价格大于期权的执行价格，则在此刻该期权是一份（   ）。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A实值期权    B虚值期权       C平值期权        D零值期权 </w:t>
      </w:r>
    </w:p>
    <w:p>
      <w:pPr>
        <w:ind w:firstLine="1201" w:firstLineChars="500"/>
        <w:rPr>
          <w:rFonts w:hint="eastAsia" w:ascii="宋体" w:hAnsi="宋体"/>
          <w:b/>
          <w:bCs/>
          <w:sz w:val="24"/>
          <w:szCs w:val="24"/>
        </w:rPr>
      </w:pPr>
    </w:p>
    <w:p>
      <w:pPr>
        <w:ind w:firstLine="1200" w:firstLineChars="5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ind w:firstLine="1200" w:firstLineChars="500"/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投资者（自然人/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法定代表人或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授权代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人）签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：</w:t>
      </w:r>
    </w:p>
    <w:p>
      <w:pPr>
        <w:ind w:firstLine="5520" w:firstLineChars="23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ind w:firstLine="5520" w:firstLineChars="2300"/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机构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公章：</w:t>
      </w:r>
    </w:p>
    <w:p>
      <w:pPr>
        <w:rPr>
          <w:rFonts w:hint="eastAsia"/>
          <w:sz w:val="21"/>
          <w:szCs w:val="21"/>
        </w:rPr>
      </w:pPr>
    </w:p>
    <w:p>
      <w:pPr>
        <w:rPr>
          <w:rFonts w:hint="eastAsia"/>
          <w:sz w:val="21"/>
          <w:szCs w:val="21"/>
          <w:lang w:val="en-US" w:eastAsia="zh-CN"/>
        </w:rPr>
      </w:pPr>
    </w:p>
    <w:p>
      <w:pPr>
        <w:rPr>
          <w:rFonts w:hint="eastAsia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参考答案：ADADD  ACABC  DADAB  A    答对14题及以上通过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</w:p>
    <w:p/>
    <w:p>
      <w:pPr>
        <w:rPr>
          <w:rFonts w:hint="eastAsia"/>
        </w:rPr>
      </w:pPr>
    </w:p>
    <w:p/>
    <w:p/>
    <w:p/>
    <w:p>
      <w:pPr>
        <w:jc w:val="left"/>
        <w:rPr>
          <w:rFonts w:hint="eastAsia" w:asciiTheme="majorEastAsia" w:hAnsiTheme="majorEastAsia" w:eastAsiaTheme="majorEastAsia"/>
          <w:szCs w:val="21"/>
        </w:rPr>
      </w:pPr>
    </w:p>
    <w:p>
      <w:pPr>
        <w:jc w:val="left"/>
        <w:rPr>
          <w:rFonts w:hint="eastAsia" w:asciiTheme="majorEastAsia" w:hAnsiTheme="majorEastAsia" w:eastAsiaTheme="majorEastAsia"/>
          <w:szCs w:val="21"/>
        </w:rPr>
      </w:pPr>
    </w:p>
    <w:p>
      <w:pPr>
        <w:pStyle w:val="10"/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4EB"/>
    <w:rsid w:val="002F2462"/>
    <w:rsid w:val="00951C0C"/>
    <w:rsid w:val="00B157D6"/>
    <w:rsid w:val="00E904EB"/>
    <w:rsid w:val="024A6896"/>
    <w:rsid w:val="06295DEE"/>
    <w:rsid w:val="0AA52654"/>
    <w:rsid w:val="0DA9269B"/>
    <w:rsid w:val="1E3E2D26"/>
    <w:rsid w:val="1EEE0858"/>
    <w:rsid w:val="24F22AE9"/>
    <w:rsid w:val="25F1075D"/>
    <w:rsid w:val="4C1F5A00"/>
    <w:rsid w:val="4E6C5658"/>
    <w:rsid w:val="6EFB4303"/>
    <w:rsid w:val="70952F65"/>
    <w:rsid w:val="7DD806DE"/>
    <w:rsid w:val="7FCE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252</Characters>
  <Lines>2</Lines>
  <Paragraphs>1</Paragraphs>
  <TotalTime>9</TotalTime>
  <ScaleCrop>false</ScaleCrop>
  <LinksUpToDate>false</LinksUpToDate>
  <CharactersWithSpaces>295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2022-01-13T07:09:00Z</dcterms:created>
  <dc:creator>胡理寓</dc:creator>
  <cp:lastModifiedBy>杨玉娇</cp:lastModifiedBy>
  <dcterms:modified xsi:type="dcterms:W3CDTF">2022-10-11T07:55:40Z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A7125F3F1F604F7DBCF079C7CC4B0CDA</vt:lpwstr>
  </property>
</Properties>
</file>