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FE5" w:rsidRPr="00FC5FE5" w:rsidRDefault="00FC5FE5" w:rsidP="00FC5FE5">
      <w:pPr>
        <w:widowControl/>
        <w:pBdr>
          <w:bottom w:val="dashed" w:sz="6" w:space="0" w:color="CCCCCC"/>
        </w:pBdr>
        <w:shd w:val="clear" w:color="auto" w:fill="F5F5F5"/>
        <w:spacing w:line="600" w:lineRule="atLeast"/>
        <w:jc w:val="center"/>
        <w:rPr>
          <w:rFonts w:ascii="微软雅黑" w:eastAsia="微软雅黑" w:hAnsi="微软雅黑" w:cs="宋体" w:hint="eastAsia"/>
          <w:color w:val="000000"/>
          <w:kern w:val="0"/>
          <w:sz w:val="36"/>
          <w:szCs w:val="24"/>
        </w:rPr>
      </w:pPr>
      <w:bookmarkStart w:id="0" w:name="_GoBack"/>
      <w:r w:rsidRPr="00FC5FE5">
        <w:rPr>
          <w:rFonts w:ascii="微软雅黑" w:eastAsia="微软雅黑" w:hAnsi="微软雅黑" w:cs="宋体"/>
          <w:color w:val="000000"/>
          <w:kern w:val="0"/>
          <w:sz w:val="36"/>
          <w:szCs w:val="24"/>
        </w:rPr>
        <w:t>股票期权交易试点管理办法</w:t>
      </w:r>
    </w:p>
    <w:bookmarkEnd w:id="0"/>
    <w:p w:rsidR="00FC5FE5" w:rsidRPr="00FC5FE5" w:rsidRDefault="00FC5FE5" w:rsidP="00FC5FE5">
      <w:pPr>
        <w:widowControl/>
        <w:numPr>
          <w:ilvl w:val="0"/>
          <w:numId w:val="1"/>
        </w:numPr>
        <w:pBdr>
          <w:bottom w:val="dashed" w:sz="6" w:space="0" w:color="CCCCCC"/>
        </w:pBdr>
        <w:shd w:val="clear" w:color="auto" w:fill="F5F5F5"/>
        <w:spacing w:line="600" w:lineRule="atLeast"/>
        <w:ind w:left="0"/>
        <w:jc w:val="left"/>
        <w:rPr>
          <w:rFonts w:ascii="微软雅黑" w:eastAsia="微软雅黑" w:hAnsi="微软雅黑" w:cs="宋体"/>
          <w:color w:val="000000"/>
          <w:kern w:val="0"/>
          <w:sz w:val="24"/>
          <w:szCs w:val="24"/>
        </w:rPr>
      </w:pPr>
      <w:r w:rsidRPr="00FC5FE5">
        <w:rPr>
          <w:rFonts w:ascii="微软雅黑" w:eastAsia="微软雅黑" w:hAnsi="微软雅黑" w:cs="宋体"/>
          <w:color w:val="000000"/>
          <w:kern w:val="0"/>
          <w:sz w:val="24"/>
          <w:szCs w:val="24"/>
        </w:rPr>
        <w:fldChar w:fldCharType="begin"/>
      </w:r>
      <w:r w:rsidRPr="00FC5FE5">
        <w:rPr>
          <w:rFonts w:ascii="微软雅黑" w:eastAsia="微软雅黑" w:hAnsi="微软雅黑" w:cs="宋体"/>
          <w:color w:val="000000"/>
          <w:kern w:val="0"/>
          <w:sz w:val="24"/>
          <w:szCs w:val="24"/>
        </w:rPr>
        <w:instrText xml:space="preserve"> HYPERLINK "javascript:void(0)" </w:instrText>
      </w:r>
      <w:r w:rsidRPr="00FC5FE5">
        <w:rPr>
          <w:rFonts w:ascii="微软雅黑" w:eastAsia="微软雅黑" w:hAnsi="微软雅黑" w:cs="宋体"/>
          <w:color w:val="000000"/>
          <w:kern w:val="0"/>
          <w:sz w:val="24"/>
          <w:szCs w:val="24"/>
        </w:rPr>
        <w:fldChar w:fldCharType="separate"/>
      </w:r>
      <w:r w:rsidRPr="00FC5FE5">
        <w:rPr>
          <w:rFonts w:ascii="微软雅黑" w:eastAsia="微软雅黑" w:hAnsi="微软雅黑" w:cs="宋体" w:hint="eastAsia"/>
          <w:b/>
          <w:bCs/>
          <w:color w:val="337AB7"/>
          <w:kern w:val="0"/>
          <w:sz w:val="24"/>
          <w:szCs w:val="24"/>
        </w:rPr>
        <w:t>第一条   </w:t>
      </w:r>
      <w:r w:rsidRPr="00FC5FE5">
        <w:rPr>
          <w:rFonts w:ascii="微软雅黑" w:eastAsia="微软雅黑" w:hAnsi="微软雅黑" w:cs="宋体"/>
          <w:color w:val="000000"/>
          <w:kern w:val="0"/>
          <w:sz w:val="24"/>
          <w:szCs w:val="24"/>
        </w:rPr>
        <w:fldChar w:fldCharType="end"/>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为了规范股票期权交易试点，维护股票期权市场秩序，防范市场风险，保护股票期权交易各方的合法权益，促进资本市场健康发展，根据《证券法》、《期货交易管理条例》、《证券公司监督管理条例》等有关法律法规，制定本办法。</w:t>
      </w:r>
    </w:p>
    <w:p w:rsidR="00FC5FE5" w:rsidRPr="00FC5FE5" w:rsidRDefault="00FC5FE5" w:rsidP="00FC5FE5">
      <w:pPr>
        <w:widowControl/>
        <w:numPr>
          <w:ilvl w:val="0"/>
          <w:numId w:val="1"/>
        </w:numPr>
        <w:pBdr>
          <w:bottom w:val="dashed" w:sz="6" w:space="0" w:color="CCCCCC"/>
        </w:pBdr>
        <w:shd w:val="clear" w:color="auto" w:fill="F5F5F5"/>
        <w:spacing w:line="600" w:lineRule="atLeast"/>
        <w:ind w:left="0"/>
        <w:jc w:val="left"/>
        <w:rPr>
          <w:rFonts w:ascii="微软雅黑" w:eastAsia="微软雅黑" w:hAnsi="微软雅黑" w:cs="宋体" w:hint="eastAsia"/>
          <w:color w:val="000000"/>
          <w:kern w:val="0"/>
          <w:sz w:val="24"/>
          <w:szCs w:val="24"/>
        </w:rPr>
      </w:pPr>
      <w:hyperlink r:id="rId5" w:history="1">
        <w:r w:rsidRPr="00FC5FE5">
          <w:rPr>
            <w:rFonts w:ascii="微软雅黑" w:eastAsia="微软雅黑" w:hAnsi="微软雅黑" w:cs="宋体" w:hint="eastAsia"/>
            <w:b/>
            <w:bCs/>
            <w:color w:val="337AB7"/>
            <w:kern w:val="0"/>
            <w:sz w:val="24"/>
            <w:szCs w:val="24"/>
          </w:rPr>
          <w:t>第二条   </w:t>
        </w:r>
      </w:hyperlink>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任何单位和个人从事股票期权交易及其相关活动，应当遵守本办法。</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本办法所称股票期权交易，是指采用公开的集中交易方式或者中国证券监督管理委员会（以下简称中国证监会）批准的其他方式进行的以股票期权合约为交易标的</w:t>
      </w:r>
      <w:proofErr w:type="gramStart"/>
      <w:r w:rsidRPr="00FC5FE5">
        <w:rPr>
          <w:rFonts w:ascii="宋体" w:eastAsia="宋体" w:hAnsi="宋体" w:cs="宋体" w:hint="eastAsia"/>
          <w:color w:val="000000"/>
          <w:kern w:val="0"/>
          <w:sz w:val="24"/>
          <w:szCs w:val="24"/>
        </w:rPr>
        <w:t>的</w:t>
      </w:r>
      <w:proofErr w:type="gramEnd"/>
      <w:r w:rsidRPr="00FC5FE5">
        <w:rPr>
          <w:rFonts w:ascii="宋体" w:eastAsia="宋体" w:hAnsi="宋体" w:cs="宋体" w:hint="eastAsia"/>
          <w:color w:val="000000"/>
          <w:kern w:val="0"/>
          <w:sz w:val="24"/>
          <w:szCs w:val="24"/>
        </w:rPr>
        <w:t>交易活动。</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本办法所称股票期权合约，是指由证券交易所统一制定的、规定买方有权在将来特定时间按照特定价格买入或者卖出约定股票、跟踪股票指数的交易型开放式指数基金等标的证券的标准化合约。</w:t>
      </w:r>
    </w:p>
    <w:p w:rsidR="00FC5FE5" w:rsidRPr="00FC5FE5" w:rsidRDefault="00FC5FE5" w:rsidP="00FC5FE5">
      <w:pPr>
        <w:widowControl/>
        <w:numPr>
          <w:ilvl w:val="0"/>
          <w:numId w:val="1"/>
        </w:numPr>
        <w:pBdr>
          <w:bottom w:val="dashed" w:sz="6" w:space="0" w:color="CCCCCC"/>
        </w:pBdr>
        <w:shd w:val="clear" w:color="auto" w:fill="F5F5F5"/>
        <w:spacing w:line="600" w:lineRule="atLeast"/>
        <w:ind w:left="0"/>
        <w:jc w:val="left"/>
        <w:rPr>
          <w:rFonts w:ascii="微软雅黑" w:eastAsia="微软雅黑" w:hAnsi="微软雅黑" w:cs="宋体" w:hint="eastAsia"/>
          <w:color w:val="000000"/>
          <w:kern w:val="0"/>
          <w:sz w:val="24"/>
          <w:szCs w:val="24"/>
        </w:rPr>
      </w:pPr>
      <w:hyperlink r:id="rId6" w:history="1">
        <w:r w:rsidRPr="00FC5FE5">
          <w:rPr>
            <w:rFonts w:ascii="微软雅黑" w:eastAsia="微软雅黑" w:hAnsi="微软雅黑" w:cs="宋体" w:hint="eastAsia"/>
            <w:b/>
            <w:bCs/>
            <w:color w:val="337AB7"/>
            <w:kern w:val="0"/>
            <w:sz w:val="24"/>
            <w:szCs w:val="24"/>
          </w:rPr>
          <w:t>第三条   </w:t>
        </w:r>
      </w:hyperlink>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从事股票期权交易活动，应当遵循公开、公平、公正和诚实信用的原则。禁止欺诈、内幕交易、操纵股票期权市场以及利用股票期权交易从事跨市场操纵、内幕交易等违法行为。</w:t>
      </w:r>
    </w:p>
    <w:p w:rsidR="00FC5FE5" w:rsidRPr="00FC5FE5" w:rsidRDefault="00FC5FE5" w:rsidP="00FC5FE5">
      <w:pPr>
        <w:widowControl/>
        <w:numPr>
          <w:ilvl w:val="0"/>
          <w:numId w:val="1"/>
        </w:numPr>
        <w:pBdr>
          <w:bottom w:val="dashed" w:sz="6" w:space="0" w:color="CCCCCC"/>
        </w:pBdr>
        <w:shd w:val="clear" w:color="auto" w:fill="F5F5F5"/>
        <w:spacing w:line="600" w:lineRule="atLeast"/>
        <w:ind w:left="0"/>
        <w:jc w:val="left"/>
        <w:rPr>
          <w:rFonts w:ascii="微软雅黑" w:eastAsia="微软雅黑" w:hAnsi="微软雅黑" w:cs="宋体" w:hint="eastAsia"/>
          <w:color w:val="000000"/>
          <w:kern w:val="0"/>
          <w:sz w:val="24"/>
          <w:szCs w:val="24"/>
        </w:rPr>
      </w:pPr>
      <w:hyperlink r:id="rId7" w:history="1">
        <w:r w:rsidRPr="00FC5FE5">
          <w:rPr>
            <w:rFonts w:ascii="微软雅黑" w:eastAsia="微软雅黑" w:hAnsi="微软雅黑" w:cs="宋体" w:hint="eastAsia"/>
            <w:b/>
            <w:bCs/>
            <w:color w:val="337AB7"/>
            <w:kern w:val="0"/>
            <w:sz w:val="24"/>
            <w:szCs w:val="24"/>
          </w:rPr>
          <w:t>第四条   </w:t>
        </w:r>
      </w:hyperlink>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中国证监会对股票期权市场实行集中统一的监督管理。</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证券交易所、证券登记结算机构、相关行业协会按照章程及业务规则，分别对股票期权交易活动及经营机构实行自律管理。</w:t>
      </w:r>
    </w:p>
    <w:p w:rsidR="00FC5FE5" w:rsidRPr="00FC5FE5" w:rsidRDefault="00FC5FE5" w:rsidP="00FC5FE5">
      <w:pPr>
        <w:widowControl/>
        <w:numPr>
          <w:ilvl w:val="0"/>
          <w:numId w:val="1"/>
        </w:numPr>
        <w:pBdr>
          <w:bottom w:val="dashed" w:sz="6" w:space="0" w:color="CCCCCC"/>
        </w:pBdr>
        <w:shd w:val="clear" w:color="auto" w:fill="F5F5F5"/>
        <w:spacing w:line="600" w:lineRule="atLeast"/>
        <w:ind w:left="0"/>
        <w:jc w:val="left"/>
        <w:rPr>
          <w:rFonts w:ascii="微软雅黑" w:eastAsia="微软雅黑" w:hAnsi="微软雅黑" w:cs="宋体" w:hint="eastAsia"/>
          <w:color w:val="000000"/>
          <w:kern w:val="0"/>
          <w:sz w:val="24"/>
          <w:szCs w:val="24"/>
        </w:rPr>
      </w:pPr>
      <w:hyperlink r:id="rId8" w:history="1">
        <w:r w:rsidRPr="00FC5FE5">
          <w:rPr>
            <w:rFonts w:ascii="微软雅黑" w:eastAsia="微软雅黑" w:hAnsi="微软雅黑" w:cs="宋体" w:hint="eastAsia"/>
            <w:b/>
            <w:bCs/>
            <w:color w:val="337AB7"/>
            <w:kern w:val="0"/>
            <w:sz w:val="24"/>
            <w:szCs w:val="24"/>
          </w:rPr>
          <w:t>第五条   </w:t>
        </w:r>
      </w:hyperlink>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证券交易所经中国证监会批准可以开展股票期权交易。</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股票期权交易品种的上市、中止、取消或者恢复应当经中国证监会批准。</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股票期权交易品种应当具有充分的现货交易基础，市场竞争充分，可供交割量充足等，适于进行股票期权交易。</w:t>
      </w:r>
    </w:p>
    <w:p w:rsidR="00FC5FE5" w:rsidRPr="00FC5FE5" w:rsidRDefault="00FC5FE5" w:rsidP="00FC5FE5">
      <w:pPr>
        <w:widowControl/>
        <w:numPr>
          <w:ilvl w:val="0"/>
          <w:numId w:val="1"/>
        </w:numPr>
        <w:pBdr>
          <w:bottom w:val="dashed" w:sz="6" w:space="0" w:color="CCCCCC"/>
        </w:pBdr>
        <w:shd w:val="clear" w:color="auto" w:fill="F5F5F5"/>
        <w:spacing w:line="600" w:lineRule="atLeast"/>
        <w:ind w:left="0"/>
        <w:jc w:val="left"/>
        <w:rPr>
          <w:rFonts w:ascii="微软雅黑" w:eastAsia="微软雅黑" w:hAnsi="微软雅黑" w:cs="宋体" w:hint="eastAsia"/>
          <w:color w:val="000000"/>
          <w:kern w:val="0"/>
          <w:sz w:val="24"/>
          <w:szCs w:val="24"/>
        </w:rPr>
      </w:pPr>
      <w:hyperlink r:id="rId9" w:history="1">
        <w:r w:rsidRPr="00FC5FE5">
          <w:rPr>
            <w:rFonts w:ascii="微软雅黑" w:eastAsia="微软雅黑" w:hAnsi="微软雅黑" w:cs="宋体" w:hint="eastAsia"/>
            <w:b/>
            <w:bCs/>
            <w:color w:val="337AB7"/>
            <w:kern w:val="0"/>
            <w:sz w:val="24"/>
            <w:szCs w:val="24"/>
          </w:rPr>
          <w:t>第六条   </w:t>
        </w:r>
      </w:hyperlink>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证券登记结算机构经中国证监会批准可以履行在证券交易所开展的股票期权交易的结算职能，并承担相应法律责任。</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lastRenderedPageBreak/>
        <w:t>证券登记结算机构作为股票期权结算参与人（以下简称结算参与人）的共同对手方，为股票期权业务提供多边净额结算服务，并按照货银对付原则实施期权行权结算。</w:t>
      </w:r>
    </w:p>
    <w:p w:rsidR="00FC5FE5" w:rsidRPr="00FC5FE5" w:rsidRDefault="00FC5FE5" w:rsidP="00FC5FE5">
      <w:pPr>
        <w:widowControl/>
        <w:numPr>
          <w:ilvl w:val="0"/>
          <w:numId w:val="1"/>
        </w:numPr>
        <w:pBdr>
          <w:bottom w:val="dashed" w:sz="6" w:space="0" w:color="CCCCCC"/>
        </w:pBdr>
        <w:shd w:val="clear" w:color="auto" w:fill="F5F5F5"/>
        <w:spacing w:line="600" w:lineRule="atLeast"/>
        <w:ind w:left="0"/>
        <w:jc w:val="left"/>
        <w:rPr>
          <w:rFonts w:ascii="微软雅黑" w:eastAsia="微软雅黑" w:hAnsi="微软雅黑" w:cs="宋体" w:hint="eastAsia"/>
          <w:color w:val="000000"/>
          <w:kern w:val="0"/>
          <w:sz w:val="24"/>
          <w:szCs w:val="24"/>
        </w:rPr>
      </w:pPr>
      <w:hyperlink r:id="rId10" w:history="1">
        <w:r w:rsidRPr="00FC5FE5">
          <w:rPr>
            <w:rFonts w:ascii="微软雅黑" w:eastAsia="微软雅黑" w:hAnsi="微软雅黑" w:cs="宋体" w:hint="eastAsia"/>
            <w:b/>
            <w:bCs/>
            <w:color w:val="337AB7"/>
            <w:kern w:val="0"/>
            <w:sz w:val="24"/>
            <w:szCs w:val="24"/>
          </w:rPr>
          <w:t>第七条   </w:t>
        </w:r>
      </w:hyperlink>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证券公司可以从事股票期权经纪业务、自营业务、做市业务，期货公司可以从事股票期权经纪业务、与股票期权备兑开仓以及行权相关的证券现货经纪业务。</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证券公司、期货公司等股票期权经营机构（以下简称经营机构）依法从事前款规定的股票期权相关业务，应当遵守法律、行政法规以及中国证监会的相关规定，具体办法由中国证监会另行制定。</w:t>
      </w:r>
    </w:p>
    <w:p w:rsidR="00FC5FE5" w:rsidRPr="00FC5FE5" w:rsidRDefault="00FC5FE5" w:rsidP="00FC5FE5">
      <w:pPr>
        <w:widowControl/>
        <w:numPr>
          <w:ilvl w:val="0"/>
          <w:numId w:val="1"/>
        </w:numPr>
        <w:pBdr>
          <w:bottom w:val="dashed" w:sz="6" w:space="0" w:color="CCCCCC"/>
        </w:pBdr>
        <w:shd w:val="clear" w:color="auto" w:fill="F5F5F5"/>
        <w:spacing w:line="600" w:lineRule="atLeast"/>
        <w:ind w:left="0"/>
        <w:jc w:val="left"/>
        <w:rPr>
          <w:rFonts w:ascii="微软雅黑" w:eastAsia="微软雅黑" w:hAnsi="微软雅黑" w:cs="宋体" w:hint="eastAsia"/>
          <w:color w:val="000000"/>
          <w:kern w:val="0"/>
          <w:sz w:val="24"/>
          <w:szCs w:val="24"/>
        </w:rPr>
      </w:pPr>
      <w:hyperlink r:id="rId11" w:history="1">
        <w:r w:rsidRPr="00FC5FE5">
          <w:rPr>
            <w:rFonts w:ascii="微软雅黑" w:eastAsia="微软雅黑" w:hAnsi="微软雅黑" w:cs="宋体" w:hint="eastAsia"/>
            <w:b/>
            <w:bCs/>
            <w:color w:val="337AB7"/>
            <w:kern w:val="0"/>
            <w:sz w:val="24"/>
            <w:szCs w:val="24"/>
          </w:rPr>
          <w:t>第八条   </w:t>
        </w:r>
      </w:hyperlink>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股票期权交易可以实行做市商制度。</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股票期权做市商（以下简称做市商）应当依据证券交易所的相关业务规则，承担为股票期权合约提供双边报价等义务，并享有相应的权利。</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做市商从事做市业务，应当严格遵守法律法规、行政规章和证券交易所有关规定；建立健全信息隔离制度，</w:t>
      </w:r>
      <w:proofErr w:type="gramStart"/>
      <w:r w:rsidRPr="00FC5FE5">
        <w:rPr>
          <w:rFonts w:ascii="宋体" w:eastAsia="宋体" w:hAnsi="宋体" w:cs="宋体" w:hint="eastAsia"/>
          <w:color w:val="000000"/>
          <w:kern w:val="0"/>
          <w:sz w:val="24"/>
          <w:szCs w:val="24"/>
        </w:rPr>
        <w:t>防范做市业务</w:t>
      </w:r>
      <w:proofErr w:type="gramEnd"/>
      <w:r w:rsidRPr="00FC5FE5">
        <w:rPr>
          <w:rFonts w:ascii="宋体" w:eastAsia="宋体" w:hAnsi="宋体" w:cs="宋体" w:hint="eastAsia"/>
          <w:color w:val="000000"/>
          <w:kern w:val="0"/>
          <w:sz w:val="24"/>
          <w:szCs w:val="24"/>
        </w:rPr>
        <w:t>与其他业务之间的利益冲突；不得利用从事做</w:t>
      </w:r>
      <w:proofErr w:type="gramStart"/>
      <w:r w:rsidRPr="00FC5FE5">
        <w:rPr>
          <w:rFonts w:ascii="宋体" w:eastAsia="宋体" w:hAnsi="宋体" w:cs="宋体" w:hint="eastAsia"/>
          <w:color w:val="000000"/>
          <w:kern w:val="0"/>
          <w:sz w:val="24"/>
          <w:szCs w:val="24"/>
        </w:rPr>
        <w:t>市业务</w:t>
      </w:r>
      <w:proofErr w:type="gramEnd"/>
      <w:r w:rsidRPr="00FC5FE5">
        <w:rPr>
          <w:rFonts w:ascii="宋体" w:eastAsia="宋体" w:hAnsi="宋体" w:cs="宋体" w:hint="eastAsia"/>
          <w:color w:val="000000"/>
          <w:kern w:val="0"/>
          <w:sz w:val="24"/>
          <w:szCs w:val="24"/>
        </w:rPr>
        <w:t>的机会，进行内幕交易、市场操纵等违法违规行为，或者谋取其他不正当利益。</w:t>
      </w:r>
    </w:p>
    <w:p w:rsidR="00FC5FE5" w:rsidRPr="00FC5FE5" w:rsidRDefault="00FC5FE5" w:rsidP="00FC5FE5">
      <w:pPr>
        <w:widowControl/>
        <w:numPr>
          <w:ilvl w:val="0"/>
          <w:numId w:val="1"/>
        </w:numPr>
        <w:pBdr>
          <w:bottom w:val="dashed" w:sz="6" w:space="0" w:color="CCCCCC"/>
        </w:pBdr>
        <w:shd w:val="clear" w:color="auto" w:fill="F5F5F5"/>
        <w:spacing w:line="600" w:lineRule="atLeast"/>
        <w:ind w:left="0"/>
        <w:jc w:val="left"/>
        <w:rPr>
          <w:rFonts w:ascii="微软雅黑" w:eastAsia="微软雅黑" w:hAnsi="微软雅黑" w:cs="宋体" w:hint="eastAsia"/>
          <w:color w:val="000000"/>
          <w:kern w:val="0"/>
          <w:sz w:val="24"/>
          <w:szCs w:val="24"/>
        </w:rPr>
      </w:pPr>
      <w:hyperlink r:id="rId12" w:history="1">
        <w:r w:rsidRPr="00FC5FE5">
          <w:rPr>
            <w:rFonts w:ascii="微软雅黑" w:eastAsia="微软雅黑" w:hAnsi="微软雅黑" w:cs="宋体" w:hint="eastAsia"/>
            <w:b/>
            <w:bCs/>
            <w:color w:val="337AB7"/>
            <w:kern w:val="0"/>
            <w:sz w:val="24"/>
            <w:szCs w:val="24"/>
          </w:rPr>
          <w:t>第九条   </w:t>
        </w:r>
      </w:hyperlink>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中国证券投资者保护基金公司、中国期货保证金监控中心作为保证金安全存管监控机构，依照有关规定分别负责对证券公司、期货公司开展股票期权业务涉及的投资者资金安全存管实施监控。</w:t>
      </w:r>
    </w:p>
    <w:p w:rsidR="00FC5FE5" w:rsidRPr="00FC5FE5" w:rsidRDefault="00FC5FE5" w:rsidP="00FC5FE5">
      <w:pPr>
        <w:widowControl/>
        <w:numPr>
          <w:ilvl w:val="0"/>
          <w:numId w:val="1"/>
        </w:numPr>
        <w:pBdr>
          <w:bottom w:val="dashed" w:sz="6" w:space="0" w:color="CCCCCC"/>
        </w:pBdr>
        <w:shd w:val="clear" w:color="auto" w:fill="F5F5F5"/>
        <w:spacing w:line="600" w:lineRule="atLeast"/>
        <w:ind w:left="0"/>
        <w:jc w:val="left"/>
        <w:rPr>
          <w:rFonts w:ascii="微软雅黑" w:eastAsia="微软雅黑" w:hAnsi="微软雅黑" w:cs="宋体" w:hint="eastAsia"/>
          <w:color w:val="000000"/>
          <w:kern w:val="0"/>
          <w:sz w:val="24"/>
          <w:szCs w:val="24"/>
        </w:rPr>
      </w:pPr>
      <w:hyperlink r:id="rId13" w:history="1">
        <w:r w:rsidRPr="00FC5FE5">
          <w:rPr>
            <w:rFonts w:ascii="微软雅黑" w:eastAsia="微软雅黑" w:hAnsi="微软雅黑" w:cs="宋体" w:hint="eastAsia"/>
            <w:b/>
            <w:bCs/>
            <w:color w:val="337AB7"/>
            <w:kern w:val="0"/>
            <w:sz w:val="24"/>
            <w:szCs w:val="24"/>
          </w:rPr>
          <w:t>第十条   </w:t>
        </w:r>
      </w:hyperlink>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证券交易所、证券登记结算机构应当根据各自职责，分别制定股票期权交易、结算规则及相应实施细则。交易规则和结算规则的制定或者修改应当报中国证监会批准。实施细则的制定或者修改应当征求中国证监会意见，并在正式发布实施前，报告中国证监会。</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经营机构、结算参与人、投资者以及其他股票期权交易参与主体应当遵守证券交易所、证券登记结算机构及保证金安全存管监控机构的业务规则。</w:t>
      </w:r>
    </w:p>
    <w:p w:rsidR="00FC5FE5" w:rsidRPr="00FC5FE5" w:rsidRDefault="00FC5FE5" w:rsidP="00FC5FE5">
      <w:pPr>
        <w:widowControl/>
        <w:numPr>
          <w:ilvl w:val="0"/>
          <w:numId w:val="1"/>
        </w:numPr>
        <w:pBdr>
          <w:bottom w:val="dashed" w:sz="6" w:space="0" w:color="CCCCCC"/>
        </w:pBdr>
        <w:shd w:val="clear" w:color="auto" w:fill="F5F5F5"/>
        <w:spacing w:line="600" w:lineRule="atLeast"/>
        <w:ind w:left="0"/>
        <w:jc w:val="left"/>
        <w:rPr>
          <w:rFonts w:ascii="微软雅黑" w:eastAsia="微软雅黑" w:hAnsi="微软雅黑" w:cs="宋体" w:hint="eastAsia"/>
          <w:color w:val="000000"/>
          <w:kern w:val="0"/>
          <w:sz w:val="24"/>
          <w:szCs w:val="24"/>
        </w:rPr>
      </w:pPr>
      <w:hyperlink r:id="rId14" w:history="1">
        <w:r w:rsidRPr="00FC5FE5">
          <w:rPr>
            <w:rFonts w:ascii="微软雅黑" w:eastAsia="微软雅黑" w:hAnsi="微软雅黑" w:cs="宋体" w:hint="eastAsia"/>
            <w:b/>
            <w:bCs/>
            <w:color w:val="337AB7"/>
            <w:kern w:val="0"/>
            <w:sz w:val="24"/>
            <w:szCs w:val="24"/>
          </w:rPr>
          <w:t>第十一条   </w:t>
        </w:r>
      </w:hyperlink>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股票期权交易实行投资者适当性制度。</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证券交易所应当制定股票期权投资者的具体标准和实施指引。</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lastRenderedPageBreak/>
        <w:t>投资者参与股票期权交易，应当对股票期权产品及市场环境的变化自主承担风险。</w:t>
      </w:r>
    </w:p>
    <w:p w:rsidR="00FC5FE5" w:rsidRPr="00FC5FE5" w:rsidRDefault="00FC5FE5" w:rsidP="00FC5FE5">
      <w:pPr>
        <w:widowControl/>
        <w:numPr>
          <w:ilvl w:val="0"/>
          <w:numId w:val="1"/>
        </w:numPr>
        <w:pBdr>
          <w:bottom w:val="dashed" w:sz="6" w:space="0" w:color="CCCCCC"/>
        </w:pBdr>
        <w:shd w:val="clear" w:color="auto" w:fill="F5F5F5"/>
        <w:spacing w:line="600" w:lineRule="atLeast"/>
        <w:ind w:left="0"/>
        <w:jc w:val="left"/>
        <w:rPr>
          <w:rFonts w:ascii="微软雅黑" w:eastAsia="微软雅黑" w:hAnsi="微软雅黑" w:cs="宋体" w:hint="eastAsia"/>
          <w:color w:val="000000"/>
          <w:kern w:val="0"/>
          <w:sz w:val="24"/>
          <w:szCs w:val="24"/>
        </w:rPr>
      </w:pPr>
      <w:hyperlink r:id="rId15" w:history="1">
        <w:r w:rsidRPr="00FC5FE5">
          <w:rPr>
            <w:rFonts w:ascii="微软雅黑" w:eastAsia="微软雅黑" w:hAnsi="微软雅黑" w:cs="宋体" w:hint="eastAsia"/>
            <w:b/>
            <w:bCs/>
            <w:color w:val="337AB7"/>
            <w:kern w:val="0"/>
            <w:sz w:val="24"/>
            <w:szCs w:val="24"/>
          </w:rPr>
          <w:t>第十二条   </w:t>
        </w:r>
      </w:hyperlink>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经营机构应当按照证券交易所投资者适当性管理要求对投资者的身份和风险承受能力进行审慎评估，根据投资者的风险承受和风险识别能力决定是否推荐其参与股票期权交易，并应当事先对产品、服务以及可能影响投资者权利义务的信息进行恰当说明，充分揭示风险，经投资者签署风险揭示书后，与投资者签订经纪合同，不得误导、欺诈投资者。</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经纪合同中应当包括经营机构对投资者采取的风险管理措施、投资者出现交收违约或者保证金不足情形的处理方式以及强行平仓和行权操作等事项。</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经营机构应当对投资者与其发生纠纷时的处理规则和程序、投资者投诉的方式和渠道以及投资者权益保障等事项进行说明和公示。</w:t>
      </w:r>
    </w:p>
    <w:p w:rsidR="00FC5FE5" w:rsidRPr="00FC5FE5" w:rsidRDefault="00FC5FE5" w:rsidP="00FC5FE5">
      <w:pPr>
        <w:widowControl/>
        <w:numPr>
          <w:ilvl w:val="0"/>
          <w:numId w:val="1"/>
        </w:numPr>
        <w:pBdr>
          <w:bottom w:val="dashed" w:sz="6" w:space="0" w:color="CCCCCC"/>
        </w:pBdr>
        <w:shd w:val="clear" w:color="auto" w:fill="F5F5F5"/>
        <w:spacing w:line="600" w:lineRule="atLeast"/>
        <w:ind w:left="0"/>
        <w:jc w:val="left"/>
        <w:rPr>
          <w:rFonts w:ascii="微软雅黑" w:eastAsia="微软雅黑" w:hAnsi="微软雅黑" w:cs="宋体" w:hint="eastAsia"/>
          <w:color w:val="000000"/>
          <w:kern w:val="0"/>
          <w:sz w:val="24"/>
          <w:szCs w:val="24"/>
        </w:rPr>
      </w:pPr>
      <w:hyperlink r:id="rId16" w:history="1">
        <w:r w:rsidRPr="00FC5FE5">
          <w:rPr>
            <w:rFonts w:ascii="微软雅黑" w:eastAsia="微软雅黑" w:hAnsi="微软雅黑" w:cs="宋体" w:hint="eastAsia"/>
            <w:b/>
            <w:bCs/>
            <w:color w:val="337AB7"/>
            <w:kern w:val="0"/>
            <w:sz w:val="24"/>
            <w:szCs w:val="24"/>
          </w:rPr>
          <w:t>第十三条   </w:t>
        </w:r>
      </w:hyperlink>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经营机构从事股票期权经纪业务，接受投资者委托，以自己的名义为投资者进行股票期权交易，交易结果由投资者承担。</w:t>
      </w:r>
    </w:p>
    <w:p w:rsidR="00FC5FE5" w:rsidRPr="00FC5FE5" w:rsidRDefault="00FC5FE5" w:rsidP="00FC5FE5">
      <w:pPr>
        <w:widowControl/>
        <w:numPr>
          <w:ilvl w:val="0"/>
          <w:numId w:val="1"/>
        </w:numPr>
        <w:pBdr>
          <w:bottom w:val="dashed" w:sz="6" w:space="0" w:color="CCCCCC"/>
        </w:pBdr>
        <w:shd w:val="clear" w:color="auto" w:fill="F5F5F5"/>
        <w:spacing w:line="600" w:lineRule="atLeast"/>
        <w:ind w:left="0"/>
        <w:jc w:val="left"/>
        <w:rPr>
          <w:rFonts w:ascii="微软雅黑" w:eastAsia="微软雅黑" w:hAnsi="微软雅黑" w:cs="宋体" w:hint="eastAsia"/>
          <w:color w:val="000000"/>
          <w:kern w:val="0"/>
          <w:sz w:val="24"/>
          <w:szCs w:val="24"/>
        </w:rPr>
      </w:pPr>
      <w:hyperlink r:id="rId17" w:history="1">
        <w:r w:rsidRPr="00FC5FE5">
          <w:rPr>
            <w:rFonts w:ascii="微软雅黑" w:eastAsia="微软雅黑" w:hAnsi="微软雅黑" w:cs="宋体" w:hint="eastAsia"/>
            <w:b/>
            <w:bCs/>
            <w:color w:val="337AB7"/>
            <w:kern w:val="0"/>
            <w:sz w:val="24"/>
            <w:szCs w:val="24"/>
          </w:rPr>
          <w:t>第十四条   </w:t>
        </w:r>
      </w:hyperlink>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证券登记结算机构负责投资者衍生品合约账户的统一管理。经营机构应当根据投资者的申请，按照证券登记结算机构业务规则为投资者开立衍生品合约账户。</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证券登记结算机构负责统一为经营机构分配、发放投资者衍生品合约账户号码。</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经营机构应当明确提示投资者如实提供开户信息。投资者应当如实申报开户材料，不得采用虚假申报等手段规避投资者适当性制度要求。投资者衍生品合约账户应当与其人民币普通股票账户的相关注册信息一致。</w:t>
      </w:r>
    </w:p>
    <w:p w:rsidR="00FC5FE5" w:rsidRPr="00FC5FE5" w:rsidRDefault="00FC5FE5" w:rsidP="00FC5FE5">
      <w:pPr>
        <w:widowControl/>
        <w:numPr>
          <w:ilvl w:val="0"/>
          <w:numId w:val="1"/>
        </w:numPr>
        <w:pBdr>
          <w:bottom w:val="dashed" w:sz="6" w:space="0" w:color="CCCCCC"/>
        </w:pBdr>
        <w:shd w:val="clear" w:color="auto" w:fill="F5F5F5"/>
        <w:spacing w:line="600" w:lineRule="atLeast"/>
        <w:ind w:left="0"/>
        <w:jc w:val="left"/>
        <w:rPr>
          <w:rFonts w:ascii="微软雅黑" w:eastAsia="微软雅黑" w:hAnsi="微软雅黑" w:cs="宋体" w:hint="eastAsia"/>
          <w:color w:val="000000"/>
          <w:kern w:val="0"/>
          <w:sz w:val="24"/>
          <w:szCs w:val="24"/>
        </w:rPr>
      </w:pPr>
      <w:hyperlink r:id="rId18" w:history="1">
        <w:r w:rsidRPr="00FC5FE5">
          <w:rPr>
            <w:rFonts w:ascii="微软雅黑" w:eastAsia="微软雅黑" w:hAnsi="微软雅黑" w:cs="宋体" w:hint="eastAsia"/>
            <w:b/>
            <w:bCs/>
            <w:color w:val="337AB7"/>
            <w:kern w:val="0"/>
            <w:sz w:val="24"/>
            <w:szCs w:val="24"/>
          </w:rPr>
          <w:t>第十五条   </w:t>
        </w:r>
      </w:hyperlink>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股票期权买方应当支付权利金。股票期权卖方收取权利金，并应当根据证券交易所、证券登记结算机构的规定交纳保证金。</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保证金以现金、证券交易所及证券登记结算机构认可的证券方式交纳。</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经营机构向投资者收取的保证金以及投资者存放于经营机构的权利金、行权资金，属于投资者所有，除按照相关规定可划转的情形外，严禁挪作他用。</w:t>
      </w:r>
    </w:p>
    <w:p w:rsidR="00FC5FE5" w:rsidRPr="00FC5FE5" w:rsidRDefault="00FC5FE5" w:rsidP="00FC5FE5">
      <w:pPr>
        <w:widowControl/>
        <w:numPr>
          <w:ilvl w:val="0"/>
          <w:numId w:val="1"/>
        </w:numPr>
        <w:pBdr>
          <w:bottom w:val="dashed" w:sz="6" w:space="0" w:color="CCCCCC"/>
        </w:pBdr>
        <w:shd w:val="clear" w:color="auto" w:fill="F5F5F5"/>
        <w:spacing w:line="600" w:lineRule="atLeast"/>
        <w:ind w:left="0"/>
        <w:jc w:val="left"/>
        <w:rPr>
          <w:rFonts w:ascii="微软雅黑" w:eastAsia="微软雅黑" w:hAnsi="微软雅黑" w:cs="宋体" w:hint="eastAsia"/>
          <w:color w:val="000000"/>
          <w:kern w:val="0"/>
          <w:sz w:val="24"/>
          <w:szCs w:val="24"/>
        </w:rPr>
      </w:pPr>
      <w:hyperlink r:id="rId19" w:history="1">
        <w:r w:rsidRPr="00FC5FE5">
          <w:rPr>
            <w:rFonts w:ascii="微软雅黑" w:eastAsia="微软雅黑" w:hAnsi="微软雅黑" w:cs="宋体" w:hint="eastAsia"/>
            <w:b/>
            <w:bCs/>
            <w:color w:val="337AB7"/>
            <w:kern w:val="0"/>
            <w:sz w:val="24"/>
            <w:szCs w:val="24"/>
          </w:rPr>
          <w:t>第十六条   </w:t>
        </w:r>
      </w:hyperlink>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lastRenderedPageBreak/>
        <w:t>证券公司应当在存管银行开设投资者股票期权保证金账户，用于存放投资者股票期权交易的权利金、行权资金、以现金形式提交的保证金。</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期货公司应当将投资者股票期权交易的权利金、行权资金、以现金形式提交的保证金存放于期货保证金账户。期货公司开展与股票期权备兑开仓以及行权相关的证券现货经纪业务的，还应当在存管银行单独开立相关现货资金账户。</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经营机构应当对向投资者收取的资金实行分账管理，妥善记载单个投资者的资金明细数据，并且与经营机构自有资金、证券现货交易结算资金实行分户管理，相关资金的划转应当符合中国证监会相关规定。</w:t>
      </w:r>
    </w:p>
    <w:p w:rsidR="00FC5FE5" w:rsidRPr="00FC5FE5" w:rsidRDefault="00FC5FE5" w:rsidP="00FC5FE5">
      <w:pPr>
        <w:widowControl/>
        <w:numPr>
          <w:ilvl w:val="0"/>
          <w:numId w:val="1"/>
        </w:numPr>
        <w:pBdr>
          <w:bottom w:val="dashed" w:sz="6" w:space="0" w:color="CCCCCC"/>
        </w:pBdr>
        <w:shd w:val="clear" w:color="auto" w:fill="F5F5F5"/>
        <w:spacing w:line="600" w:lineRule="atLeast"/>
        <w:ind w:left="0"/>
        <w:jc w:val="left"/>
        <w:rPr>
          <w:rFonts w:ascii="微软雅黑" w:eastAsia="微软雅黑" w:hAnsi="微软雅黑" w:cs="宋体" w:hint="eastAsia"/>
          <w:color w:val="000000"/>
          <w:kern w:val="0"/>
          <w:sz w:val="24"/>
          <w:szCs w:val="24"/>
        </w:rPr>
      </w:pPr>
      <w:hyperlink r:id="rId20" w:history="1">
        <w:r w:rsidRPr="00FC5FE5">
          <w:rPr>
            <w:rFonts w:ascii="微软雅黑" w:eastAsia="微软雅黑" w:hAnsi="微软雅黑" w:cs="宋体" w:hint="eastAsia"/>
            <w:b/>
            <w:bCs/>
            <w:color w:val="337AB7"/>
            <w:kern w:val="0"/>
            <w:sz w:val="24"/>
            <w:szCs w:val="24"/>
          </w:rPr>
          <w:t>第十七条   </w:t>
        </w:r>
      </w:hyperlink>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结算参与人应当根据相关业务规则的规定，在证券登记结算机构开立股票期权资金保证金账户，用于存放结算参与人股票期权交易的权利金、行权资金、以现金形式提交的保证金。证券登记结算机构应当对结算参与人存放的投资者股票期权交易的权利金、行权资金、以现金形式提交的保证金与结算参与人存放的自有资金实行分户管理。</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结算参与人可以根据相关业务规则的规定，在证券登记结算机构开立股票期权证券保证金账户，用于存放以证券形式提交的保证金，具体事宜由证券交易所、证券登记结算机构另行规定。</w:t>
      </w:r>
    </w:p>
    <w:p w:rsidR="00FC5FE5" w:rsidRPr="00FC5FE5" w:rsidRDefault="00FC5FE5" w:rsidP="00FC5FE5">
      <w:pPr>
        <w:widowControl/>
        <w:numPr>
          <w:ilvl w:val="0"/>
          <w:numId w:val="1"/>
        </w:numPr>
        <w:pBdr>
          <w:bottom w:val="dashed" w:sz="6" w:space="0" w:color="CCCCCC"/>
        </w:pBdr>
        <w:shd w:val="clear" w:color="auto" w:fill="F5F5F5"/>
        <w:spacing w:line="600" w:lineRule="atLeast"/>
        <w:ind w:left="0"/>
        <w:jc w:val="left"/>
        <w:rPr>
          <w:rFonts w:ascii="微软雅黑" w:eastAsia="微软雅黑" w:hAnsi="微软雅黑" w:cs="宋体" w:hint="eastAsia"/>
          <w:color w:val="000000"/>
          <w:kern w:val="0"/>
          <w:sz w:val="24"/>
          <w:szCs w:val="24"/>
        </w:rPr>
      </w:pPr>
      <w:hyperlink r:id="rId21" w:history="1">
        <w:r w:rsidRPr="00FC5FE5">
          <w:rPr>
            <w:rFonts w:ascii="微软雅黑" w:eastAsia="微软雅黑" w:hAnsi="微软雅黑" w:cs="宋体" w:hint="eastAsia"/>
            <w:b/>
            <w:bCs/>
            <w:color w:val="337AB7"/>
            <w:kern w:val="0"/>
            <w:sz w:val="24"/>
            <w:szCs w:val="24"/>
          </w:rPr>
          <w:t>第十八条   </w:t>
        </w:r>
      </w:hyperlink>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股票期权买方有权决定在合约规定期间内是否行权。股票期权买方提出行权时，股票期权卖方应当按照有关规定履行相应义务。</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投资者可以根据证券交易所业务规则的规定，采用自有资金、证券或依法借入的资金、证券进</w:t>
      </w:r>
      <w:proofErr w:type="gramStart"/>
      <w:r w:rsidRPr="00FC5FE5">
        <w:rPr>
          <w:rFonts w:ascii="宋体" w:eastAsia="宋体" w:hAnsi="宋体" w:cs="宋体" w:hint="eastAsia"/>
          <w:color w:val="000000"/>
          <w:kern w:val="0"/>
          <w:sz w:val="24"/>
          <w:szCs w:val="24"/>
        </w:rPr>
        <w:t>行行权</w:t>
      </w:r>
      <w:proofErr w:type="gramEnd"/>
      <w:r w:rsidRPr="00FC5FE5">
        <w:rPr>
          <w:rFonts w:ascii="宋体" w:eastAsia="宋体" w:hAnsi="宋体" w:cs="宋体" w:hint="eastAsia"/>
          <w:color w:val="000000"/>
          <w:kern w:val="0"/>
          <w:sz w:val="24"/>
          <w:szCs w:val="24"/>
        </w:rPr>
        <w:t>结算。</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经营机构可以在经纪合同中与投资者约定为其提供协议行权服务。提供协议行权服务的，经营机构应当在经纪合同中对触发条件、行权数量、操作流程以及该项服务可能产生的风险等内容进行详细约定并向投资者作充分说明，经营机构还应当对该项服务的实际操作流程进行记录，相关记录保存期限不得少于20年。</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股票期权合约到期前，经营机构应当采取网络、电话、短信、电子邮件或者其他适当方式中的至少一种提醒投资者妥善处理股票期权交易持仓，并对提醒情况进行记录，相关记录保存期限不得少于20年。</w:t>
      </w:r>
    </w:p>
    <w:p w:rsidR="00FC5FE5" w:rsidRPr="00FC5FE5" w:rsidRDefault="00FC5FE5" w:rsidP="00FC5FE5">
      <w:pPr>
        <w:widowControl/>
        <w:numPr>
          <w:ilvl w:val="0"/>
          <w:numId w:val="1"/>
        </w:numPr>
        <w:pBdr>
          <w:bottom w:val="dashed" w:sz="6" w:space="0" w:color="CCCCCC"/>
        </w:pBdr>
        <w:shd w:val="clear" w:color="auto" w:fill="F5F5F5"/>
        <w:spacing w:line="600" w:lineRule="atLeast"/>
        <w:ind w:left="0"/>
        <w:jc w:val="left"/>
        <w:rPr>
          <w:rFonts w:ascii="微软雅黑" w:eastAsia="微软雅黑" w:hAnsi="微软雅黑" w:cs="宋体" w:hint="eastAsia"/>
          <w:color w:val="000000"/>
          <w:kern w:val="0"/>
          <w:sz w:val="24"/>
          <w:szCs w:val="24"/>
        </w:rPr>
      </w:pPr>
      <w:hyperlink r:id="rId22" w:history="1">
        <w:r w:rsidRPr="00FC5FE5">
          <w:rPr>
            <w:rFonts w:ascii="微软雅黑" w:eastAsia="微软雅黑" w:hAnsi="微软雅黑" w:cs="宋体" w:hint="eastAsia"/>
            <w:b/>
            <w:bCs/>
            <w:color w:val="337AB7"/>
            <w:kern w:val="0"/>
            <w:sz w:val="24"/>
            <w:szCs w:val="24"/>
          </w:rPr>
          <w:t>第十九条   </w:t>
        </w:r>
      </w:hyperlink>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股票期权交易实行当日无负债结算制度。</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lastRenderedPageBreak/>
        <w:t>证券登记结算机构应当在当日及时将结算结果通知结算参与人，结算参与人据此对投资者进行结算，并应当将结算结果按照与投资者约定的方式及时通知投资者。</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投资者应当及时查询并妥善处理自己的交易持仓。</w:t>
      </w:r>
    </w:p>
    <w:p w:rsidR="00FC5FE5" w:rsidRPr="00FC5FE5" w:rsidRDefault="00FC5FE5" w:rsidP="00FC5FE5">
      <w:pPr>
        <w:widowControl/>
        <w:numPr>
          <w:ilvl w:val="0"/>
          <w:numId w:val="1"/>
        </w:numPr>
        <w:pBdr>
          <w:bottom w:val="dashed" w:sz="6" w:space="0" w:color="CCCCCC"/>
        </w:pBdr>
        <w:shd w:val="clear" w:color="auto" w:fill="F5F5F5"/>
        <w:spacing w:line="600" w:lineRule="atLeast"/>
        <w:ind w:left="0"/>
        <w:jc w:val="left"/>
        <w:rPr>
          <w:rFonts w:ascii="微软雅黑" w:eastAsia="微软雅黑" w:hAnsi="微软雅黑" w:cs="宋体" w:hint="eastAsia"/>
          <w:color w:val="000000"/>
          <w:kern w:val="0"/>
          <w:sz w:val="24"/>
          <w:szCs w:val="24"/>
        </w:rPr>
      </w:pPr>
      <w:hyperlink r:id="rId23" w:history="1">
        <w:r w:rsidRPr="00FC5FE5">
          <w:rPr>
            <w:rFonts w:ascii="微软雅黑" w:eastAsia="微软雅黑" w:hAnsi="微软雅黑" w:cs="宋体" w:hint="eastAsia"/>
            <w:b/>
            <w:bCs/>
            <w:color w:val="337AB7"/>
            <w:kern w:val="0"/>
            <w:sz w:val="24"/>
            <w:szCs w:val="24"/>
          </w:rPr>
          <w:t>第二十条   </w:t>
        </w:r>
      </w:hyperlink>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结算参与人出现保证金不足、交收违约情形的，证券登记结算机构有权按照业务规则的规定，对其采取直接扣款，处置结算参与人期权保证金，暂不交付并处置其应收证券、资金或者担保证券，扣划其自营证券，收取违约金等措施。</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投资者出现保证金不足、交收违约情形的，经营机构可以根据相关业务规则及经纪合同的规定，对其采取处置投资者期权保证金，暂不交付并处置其应收证券、资金或者担保证券，收取违约金等措施。</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结算参与人可以委托证券登记结算机构将暂不交付给投资者的证券划付至结算参与人的证券处置账户内进行处置。</w:t>
      </w:r>
    </w:p>
    <w:p w:rsidR="00FC5FE5" w:rsidRPr="00FC5FE5" w:rsidRDefault="00FC5FE5" w:rsidP="00FC5FE5">
      <w:pPr>
        <w:widowControl/>
        <w:numPr>
          <w:ilvl w:val="0"/>
          <w:numId w:val="1"/>
        </w:numPr>
        <w:pBdr>
          <w:bottom w:val="dashed" w:sz="6" w:space="0" w:color="CCCCCC"/>
        </w:pBdr>
        <w:shd w:val="clear" w:color="auto" w:fill="F5F5F5"/>
        <w:spacing w:line="600" w:lineRule="atLeast"/>
        <w:ind w:left="0"/>
        <w:jc w:val="left"/>
        <w:rPr>
          <w:rFonts w:ascii="微软雅黑" w:eastAsia="微软雅黑" w:hAnsi="微软雅黑" w:cs="宋体" w:hint="eastAsia"/>
          <w:color w:val="000000"/>
          <w:kern w:val="0"/>
          <w:sz w:val="24"/>
          <w:szCs w:val="24"/>
        </w:rPr>
      </w:pPr>
      <w:hyperlink r:id="rId24" w:history="1">
        <w:r w:rsidRPr="00FC5FE5">
          <w:rPr>
            <w:rFonts w:ascii="微软雅黑" w:eastAsia="微软雅黑" w:hAnsi="微软雅黑" w:cs="宋体" w:hint="eastAsia"/>
            <w:b/>
            <w:bCs/>
            <w:color w:val="337AB7"/>
            <w:kern w:val="0"/>
            <w:sz w:val="24"/>
            <w:szCs w:val="24"/>
          </w:rPr>
          <w:t>第二十一条   </w:t>
        </w:r>
      </w:hyperlink>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证券交易所开展股票期权交易活动，应当建立保证金、涨跌停板、持仓限额、大户持仓报告、风险准备金、风险警示制度以及中国证监会规定的其他风险管理制度，并在业务规则中明确上市公司董事、监事、高级管理人员以及持股达到一定比例的股东等相关主体从事股票期权交易的规范要求。</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证券登记结算机构开展股票期权交易活动，应当建立保证金、当日无负债结算、强行平仓、结算担保金、风险准备金以及中国证监会规定的其他风险管理制度。</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证券交易所、证券登记结算机构建立相同的风险管理制度的，应当在业务规则中明确各自的职责分工。</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经营机构应当遵守中国证监会、证券交易所、证券登记结算机构以及行业自律组织规定的风险管理制度，建立健全并严格执行股票期权业务合</w:t>
      </w:r>
      <w:proofErr w:type="gramStart"/>
      <w:r w:rsidRPr="00FC5FE5">
        <w:rPr>
          <w:rFonts w:ascii="宋体" w:eastAsia="宋体" w:hAnsi="宋体" w:cs="宋体" w:hint="eastAsia"/>
          <w:color w:val="000000"/>
          <w:kern w:val="0"/>
          <w:sz w:val="24"/>
          <w:szCs w:val="24"/>
        </w:rPr>
        <w:t>规</w:t>
      </w:r>
      <w:proofErr w:type="gramEnd"/>
      <w:r w:rsidRPr="00FC5FE5">
        <w:rPr>
          <w:rFonts w:ascii="宋体" w:eastAsia="宋体" w:hAnsi="宋体" w:cs="宋体" w:hint="eastAsia"/>
          <w:color w:val="000000"/>
          <w:kern w:val="0"/>
          <w:sz w:val="24"/>
          <w:szCs w:val="24"/>
        </w:rPr>
        <w:t>管理及风险管理制度，保障投资者保证金的存管安全，按照规定提取、管理和使用风险准备金，按照证券交易所的规定，向其报告大户名单、交易情况。</w:t>
      </w:r>
    </w:p>
    <w:p w:rsidR="00FC5FE5" w:rsidRPr="00FC5FE5" w:rsidRDefault="00FC5FE5" w:rsidP="00FC5FE5">
      <w:pPr>
        <w:widowControl/>
        <w:numPr>
          <w:ilvl w:val="0"/>
          <w:numId w:val="1"/>
        </w:numPr>
        <w:pBdr>
          <w:bottom w:val="dashed" w:sz="6" w:space="0" w:color="CCCCCC"/>
        </w:pBdr>
        <w:shd w:val="clear" w:color="auto" w:fill="F5F5F5"/>
        <w:spacing w:line="600" w:lineRule="atLeast"/>
        <w:ind w:left="0"/>
        <w:jc w:val="left"/>
        <w:rPr>
          <w:rFonts w:ascii="微软雅黑" w:eastAsia="微软雅黑" w:hAnsi="微软雅黑" w:cs="宋体" w:hint="eastAsia"/>
          <w:color w:val="000000"/>
          <w:kern w:val="0"/>
          <w:sz w:val="24"/>
          <w:szCs w:val="24"/>
        </w:rPr>
      </w:pPr>
      <w:hyperlink r:id="rId25" w:history="1">
        <w:r w:rsidRPr="00FC5FE5">
          <w:rPr>
            <w:rFonts w:ascii="微软雅黑" w:eastAsia="微软雅黑" w:hAnsi="微软雅黑" w:cs="宋体" w:hint="eastAsia"/>
            <w:b/>
            <w:bCs/>
            <w:color w:val="337AB7"/>
            <w:kern w:val="0"/>
            <w:sz w:val="24"/>
            <w:szCs w:val="24"/>
          </w:rPr>
          <w:t>第二十二条   </w:t>
        </w:r>
      </w:hyperlink>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结算参与人的保证金不足且未在证券登记结算机构规定时间内追加保证金或者自行平仓的，证券登记结算机构应当按照《期货交易管理条例》以及业务规则的规定将该结算参与人负责结算的合约强行平仓。</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lastRenderedPageBreak/>
        <w:t>投资者保证金不足且未在经营机构规定时间内追加保证金或者自行平仓的，经营机构应当按照《期货交易管理条例》、相关业务规则以及经纪合同的规定将该投资者的合约强行平仓。</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因强行平仓发生的有关费用和损失由相关主体根据相关业务规则、经纪合同的规定承担。</w:t>
      </w:r>
    </w:p>
    <w:p w:rsidR="00FC5FE5" w:rsidRPr="00FC5FE5" w:rsidRDefault="00FC5FE5" w:rsidP="00FC5FE5">
      <w:pPr>
        <w:widowControl/>
        <w:numPr>
          <w:ilvl w:val="0"/>
          <w:numId w:val="1"/>
        </w:numPr>
        <w:pBdr>
          <w:bottom w:val="dashed" w:sz="6" w:space="0" w:color="CCCCCC"/>
        </w:pBdr>
        <w:shd w:val="clear" w:color="auto" w:fill="F5F5F5"/>
        <w:spacing w:line="600" w:lineRule="atLeast"/>
        <w:ind w:left="0"/>
        <w:jc w:val="left"/>
        <w:rPr>
          <w:rFonts w:ascii="微软雅黑" w:eastAsia="微软雅黑" w:hAnsi="微软雅黑" w:cs="宋体" w:hint="eastAsia"/>
          <w:color w:val="000000"/>
          <w:kern w:val="0"/>
          <w:sz w:val="24"/>
          <w:szCs w:val="24"/>
        </w:rPr>
      </w:pPr>
      <w:hyperlink r:id="rId26" w:history="1">
        <w:r w:rsidRPr="00FC5FE5">
          <w:rPr>
            <w:rFonts w:ascii="微软雅黑" w:eastAsia="微软雅黑" w:hAnsi="微软雅黑" w:cs="宋体" w:hint="eastAsia"/>
            <w:b/>
            <w:bCs/>
            <w:color w:val="337AB7"/>
            <w:kern w:val="0"/>
            <w:sz w:val="24"/>
            <w:szCs w:val="24"/>
          </w:rPr>
          <w:t>第二十三条   </w:t>
        </w:r>
      </w:hyperlink>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当出现不可抗力、市场操纵、技术系统故障等异常情况，影响股票期权交易正常秩序时，证券交易所可以按照业务规则规定的权限和程序，决定采取下列紧急措施：</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（一）调整保证金；</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（二）调整涨跌停板幅度；</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（三）调整经营机构或者投资者的持仓限额；</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（四）限制经营机构或投资者开仓，或要求其限期平仓；</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（五）暂时停止股票期权合约的交易；</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（六）其他紧急措施。</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出现前款所述情形，导致或者可能导致股票期权重大结算风险时，证券登记结算机构可以按照业务规则规定的权限和程序，决定采取限制出金或入金、强行平仓或其他紧急措施。</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证券交易所、证券登记结算机构根据本条规定采取上述措施，应当立即报告中国证监会、向市场公告，并积极协助、配合对方履行相应职责。因采取上述措施发生的有关费用、损失，由相关主体根据相关业务规则、经纪合同的规定承担。</w:t>
      </w:r>
    </w:p>
    <w:p w:rsidR="00FC5FE5" w:rsidRPr="00FC5FE5" w:rsidRDefault="00FC5FE5" w:rsidP="00FC5FE5">
      <w:pPr>
        <w:widowControl/>
        <w:numPr>
          <w:ilvl w:val="0"/>
          <w:numId w:val="1"/>
        </w:numPr>
        <w:pBdr>
          <w:bottom w:val="dashed" w:sz="6" w:space="0" w:color="CCCCCC"/>
        </w:pBdr>
        <w:shd w:val="clear" w:color="auto" w:fill="F5F5F5"/>
        <w:spacing w:line="600" w:lineRule="atLeast"/>
        <w:ind w:left="0"/>
        <w:jc w:val="left"/>
        <w:rPr>
          <w:rFonts w:ascii="微软雅黑" w:eastAsia="微软雅黑" w:hAnsi="微软雅黑" w:cs="宋体" w:hint="eastAsia"/>
          <w:color w:val="000000"/>
          <w:kern w:val="0"/>
          <w:sz w:val="24"/>
          <w:szCs w:val="24"/>
        </w:rPr>
      </w:pPr>
      <w:hyperlink r:id="rId27" w:history="1">
        <w:r w:rsidRPr="00FC5FE5">
          <w:rPr>
            <w:rFonts w:ascii="微软雅黑" w:eastAsia="微软雅黑" w:hAnsi="微软雅黑" w:cs="宋体" w:hint="eastAsia"/>
            <w:b/>
            <w:bCs/>
            <w:color w:val="337AB7"/>
            <w:kern w:val="0"/>
            <w:sz w:val="24"/>
            <w:szCs w:val="24"/>
          </w:rPr>
          <w:t>第二十四条   </w:t>
        </w:r>
      </w:hyperlink>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证券交易所、证券登记结算机构、保证金安全存管监控机构应当根据各自职责，建立股票期权市场与其他证券、期货等相关市场以及监管机构之间的信息共享、市场监测、风险控制、打击违法违规等协作机制。</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证券交易所、证券登记结算机构、保证金安全存管监控机构发现股票期权交易活动中存在违法违规行为的，应当及时向中国证监会报告，并按照有关规定通报派出机构。</w:t>
      </w:r>
    </w:p>
    <w:p w:rsidR="00FC5FE5" w:rsidRPr="00FC5FE5" w:rsidRDefault="00FC5FE5" w:rsidP="00FC5FE5">
      <w:pPr>
        <w:widowControl/>
        <w:numPr>
          <w:ilvl w:val="0"/>
          <w:numId w:val="1"/>
        </w:numPr>
        <w:pBdr>
          <w:bottom w:val="dashed" w:sz="6" w:space="0" w:color="CCCCCC"/>
        </w:pBdr>
        <w:shd w:val="clear" w:color="auto" w:fill="F5F5F5"/>
        <w:spacing w:line="600" w:lineRule="atLeast"/>
        <w:ind w:left="0"/>
        <w:jc w:val="left"/>
        <w:rPr>
          <w:rFonts w:ascii="微软雅黑" w:eastAsia="微软雅黑" w:hAnsi="微软雅黑" w:cs="宋体" w:hint="eastAsia"/>
          <w:color w:val="000000"/>
          <w:kern w:val="0"/>
          <w:sz w:val="24"/>
          <w:szCs w:val="24"/>
        </w:rPr>
      </w:pPr>
      <w:hyperlink r:id="rId28" w:history="1">
        <w:r w:rsidRPr="00FC5FE5">
          <w:rPr>
            <w:rFonts w:ascii="微软雅黑" w:eastAsia="微软雅黑" w:hAnsi="微软雅黑" w:cs="宋体" w:hint="eastAsia"/>
            <w:b/>
            <w:bCs/>
            <w:color w:val="337AB7"/>
            <w:kern w:val="0"/>
            <w:sz w:val="24"/>
            <w:szCs w:val="24"/>
          </w:rPr>
          <w:t>第二十五条   </w:t>
        </w:r>
      </w:hyperlink>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任何单位或者个人不得编造、传播有关股票期权交易的虚假信息扰乱市场秩序，不得通过《期货交易管理条例》第七十一条规定的手段以及操纵相关标的证券市场等手段操纵股票期权市场，不得利用《期货交易管理条例》第八十二条第（十一）项规定的内幕信息、相关标的证券市场的内幕</w:t>
      </w:r>
      <w:r w:rsidRPr="00FC5FE5">
        <w:rPr>
          <w:rFonts w:ascii="宋体" w:eastAsia="宋体" w:hAnsi="宋体" w:cs="宋体" w:hint="eastAsia"/>
          <w:color w:val="000000"/>
          <w:kern w:val="0"/>
          <w:sz w:val="24"/>
          <w:szCs w:val="24"/>
        </w:rPr>
        <w:lastRenderedPageBreak/>
        <w:t>信息以及其他未公开信息从事股票期权交易，或者向他人泄露上述信息、使他人利用上述信息从事股票期权交易。</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任何单位或者个人不得通过操纵股票期权市场等手段操纵相关标的证券市场，不得利用股票期权市场的内幕信息从事相关标的证券交易，或者向他人泄露上述信息、使他人利用上述信息从事相关标的证券交易。</w:t>
      </w:r>
    </w:p>
    <w:p w:rsidR="00FC5FE5" w:rsidRPr="00FC5FE5" w:rsidRDefault="00FC5FE5" w:rsidP="00FC5FE5">
      <w:pPr>
        <w:widowControl/>
        <w:numPr>
          <w:ilvl w:val="0"/>
          <w:numId w:val="1"/>
        </w:numPr>
        <w:pBdr>
          <w:bottom w:val="dashed" w:sz="6" w:space="0" w:color="CCCCCC"/>
        </w:pBdr>
        <w:shd w:val="clear" w:color="auto" w:fill="F5F5F5"/>
        <w:spacing w:line="600" w:lineRule="atLeast"/>
        <w:ind w:left="0"/>
        <w:jc w:val="left"/>
        <w:rPr>
          <w:rFonts w:ascii="微软雅黑" w:eastAsia="微软雅黑" w:hAnsi="微软雅黑" w:cs="宋体" w:hint="eastAsia"/>
          <w:color w:val="000000"/>
          <w:kern w:val="0"/>
          <w:sz w:val="24"/>
          <w:szCs w:val="24"/>
        </w:rPr>
      </w:pPr>
      <w:hyperlink r:id="rId29" w:history="1">
        <w:r w:rsidRPr="00FC5FE5">
          <w:rPr>
            <w:rFonts w:ascii="微软雅黑" w:eastAsia="微软雅黑" w:hAnsi="微软雅黑" w:cs="宋体" w:hint="eastAsia"/>
            <w:b/>
            <w:bCs/>
            <w:color w:val="337AB7"/>
            <w:kern w:val="0"/>
            <w:sz w:val="24"/>
            <w:szCs w:val="24"/>
          </w:rPr>
          <w:t>第二十六条   </w:t>
        </w:r>
      </w:hyperlink>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证券交易所、证券登记结算机构开展股票期权交易与结算业务时，相关业务活动依照《期货交易管理条例》关于期货交易所开展期货交易的有关监管要求和法律责任执行。</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除法律法规及中国证监会另有规定外，证券公司从事股票期权经纪业务时，相关业务活动参照适用期货公司从事期货经纪业务的有关监管要求和法律责任；期货公司从事与股票期权备兑开仓以及行权相关的证券现货经纪业务时，相关业务活动参照适用证券公司从事证券经纪业务的有关监管要求和法律责任。</w:t>
      </w:r>
    </w:p>
    <w:p w:rsidR="00FC5FE5" w:rsidRPr="00FC5FE5" w:rsidRDefault="00FC5FE5" w:rsidP="00FC5FE5">
      <w:pPr>
        <w:widowControl/>
        <w:numPr>
          <w:ilvl w:val="0"/>
          <w:numId w:val="1"/>
        </w:numPr>
        <w:pBdr>
          <w:bottom w:val="dashed" w:sz="6" w:space="0" w:color="CCCCCC"/>
        </w:pBdr>
        <w:shd w:val="clear" w:color="auto" w:fill="F5F5F5"/>
        <w:spacing w:line="600" w:lineRule="atLeast"/>
        <w:ind w:left="0"/>
        <w:jc w:val="left"/>
        <w:rPr>
          <w:rFonts w:ascii="微软雅黑" w:eastAsia="微软雅黑" w:hAnsi="微软雅黑" w:cs="宋体" w:hint="eastAsia"/>
          <w:color w:val="000000"/>
          <w:kern w:val="0"/>
          <w:sz w:val="24"/>
          <w:szCs w:val="24"/>
        </w:rPr>
      </w:pPr>
      <w:hyperlink r:id="rId30" w:history="1">
        <w:r w:rsidRPr="00FC5FE5">
          <w:rPr>
            <w:rFonts w:ascii="微软雅黑" w:eastAsia="微软雅黑" w:hAnsi="微软雅黑" w:cs="宋体" w:hint="eastAsia"/>
            <w:b/>
            <w:bCs/>
            <w:color w:val="337AB7"/>
            <w:kern w:val="0"/>
            <w:sz w:val="24"/>
            <w:szCs w:val="24"/>
          </w:rPr>
          <w:t>第二十七条   </w:t>
        </w:r>
      </w:hyperlink>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任何单位或者个人违反期货法律、法规、规章以及本办法，中国证监会及其派出机构按照《期货交易管理条例》以及中国证监会的相关规定对其采取责令改正、监管谈话、出具警示函等监管措施；应当给予处罚的，按照《期货交易管理条例》以及中国证监会的相关规定进行处罚；涉嫌犯罪的，依法移送司法机关追究刑事责任。</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任何单位或者个人违反本办法第二十五条第二款的规定，操纵相关标的证券市场或者进行相关标的证券内幕交易的，中国证监会及其派出机构按照《证券法》以及中国证监会的相关规定对其采取责令改正、监管谈话、出具警示函等监管措施；应当给予处罚的，按照《证券法》以及中国证监会的相关规定进行处罚；涉嫌犯罪的，依法移送司法机关追究刑事责任。</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任何单位或者个人违反本办法以及《期货交易管理条例》的规定，在股票期权交易中从事违法违规行为，给投资者造成损失的，应当依法承担赔偿责任。</w:t>
      </w:r>
    </w:p>
    <w:p w:rsidR="00FC5FE5" w:rsidRPr="00FC5FE5" w:rsidRDefault="00FC5FE5" w:rsidP="00FC5FE5">
      <w:pPr>
        <w:widowControl/>
        <w:numPr>
          <w:ilvl w:val="0"/>
          <w:numId w:val="1"/>
        </w:numPr>
        <w:pBdr>
          <w:bottom w:val="dashed" w:sz="6" w:space="0" w:color="CCCCCC"/>
        </w:pBdr>
        <w:shd w:val="clear" w:color="auto" w:fill="F5F5F5"/>
        <w:spacing w:line="600" w:lineRule="atLeast"/>
        <w:ind w:left="0"/>
        <w:jc w:val="left"/>
        <w:rPr>
          <w:rFonts w:ascii="微软雅黑" w:eastAsia="微软雅黑" w:hAnsi="微软雅黑" w:cs="宋体" w:hint="eastAsia"/>
          <w:color w:val="000000"/>
          <w:kern w:val="0"/>
          <w:sz w:val="24"/>
          <w:szCs w:val="24"/>
        </w:rPr>
      </w:pPr>
      <w:hyperlink r:id="rId31" w:history="1">
        <w:r w:rsidRPr="00FC5FE5">
          <w:rPr>
            <w:rFonts w:ascii="微软雅黑" w:eastAsia="微软雅黑" w:hAnsi="微软雅黑" w:cs="宋体" w:hint="eastAsia"/>
            <w:b/>
            <w:bCs/>
            <w:color w:val="337AB7"/>
            <w:kern w:val="0"/>
            <w:sz w:val="24"/>
            <w:szCs w:val="24"/>
          </w:rPr>
          <w:t>第二十八条   </w:t>
        </w:r>
      </w:hyperlink>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本办法下列用语具有如下含义：</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（一）保证金安全存管监控机构，是指中国证券投资者保护基金公司、中国期货保证金监控中心或者中国证监会批准的其他保证金安全存管监控机构。</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lastRenderedPageBreak/>
        <w:t>（二）股票期权经营机构，是指经中国证监会批准经营股票期权业务的证券公司、期货公司等金融机构。</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（三）股票期权结算参与人，是指具有证券登记结算机构股票期权结算业务结算参与人资格的机构。</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（四）做市商，是指经证券交易所认可、为其上市交易的股票期权合约提供双边持续报价或者双边回应报价等服务的机构。</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（五）权利金，是指股票期权买方向卖方支付的用于购买股票期权合约的资金。</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（六）保证金，是指用于结算和保证股票期权合约履行的现金或者证券。</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（七）衍生品合约账户，是指经营机构按照证券登记结算机构业务规则，为投资者开立的用于股票期权合约交易、行权申报及记录投资者持有的股票期权合约及其变动情况的账户。</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（八）股票期权买方，是指持有股票期权合约权利仓的投资者。权利仓指股票期权合约买入开仓形成的持</w:t>
      </w:r>
      <w:proofErr w:type="gramStart"/>
      <w:r w:rsidRPr="00FC5FE5">
        <w:rPr>
          <w:rFonts w:ascii="宋体" w:eastAsia="宋体" w:hAnsi="宋体" w:cs="宋体" w:hint="eastAsia"/>
          <w:color w:val="000000"/>
          <w:kern w:val="0"/>
          <w:sz w:val="24"/>
          <w:szCs w:val="24"/>
        </w:rPr>
        <w:t>仓头</w:t>
      </w:r>
      <w:proofErr w:type="gramEnd"/>
      <w:r w:rsidRPr="00FC5FE5">
        <w:rPr>
          <w:rFonts w:ascii="宋体" w:eastAsia="宋体" w:hAnsi="宋体" w:cs="宋体" w:hint="eastAsia"/>
          <w:color w:val="000000"/>
          <w:kern w:val="0"/>
          <w:sz w:val="24"/>
          <w:szCs w:val="24"/>
        </w:rPr>
        <w:t>寸。</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（九）股票期权卖方，是指持有股票期权合约义务仓的投资者。义务仓指股票期权合约卖出开仓形成的持</w:t>
      </w:r>
      <w:proofErr w:type="gramStart"/>
      <w:r w:rsidRPr="00FC5FE5">
        <w:rPr>
          <w:rFonts w:ascii="宋体" w:eastAsia="宋体" w:hAnsi="宋体" w:cs="宋体" w:hint="eastAsia"/>
          <w:color w:val="000000"/>
          <w:kern w:val="0"/>
          <w:sz w:val="24"/>
          <w:szCs w:val="24"/>
        </w:rPr>
        <w:t>仓头</w:t>
      </w:r>
      <w:proofErr w:type="gramEnd"/>
      <w:r w:rsidRPr="00FC5FE5">
        <w:rPr>
          <w:rFonts w:ascii="宋体" w:eastAsia="宋体" w:hAnsi="宋体" w:cs="宋体" w:hint="eastAsia"/>
          <w:color w:val="000000"/>
          <w:kern w:val="0"/>
          <w:sz w:val="24"/>
          <w:szCs w:val="24"/>
        </w:rPr>
        <w:t>寸。</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（十）行权，是指股票期权合约买方按照规定行使权利，以行权价格买入或者卖出约定标的证券，或者按照规定结算价格进行现金差价结算。</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（十一）协议行权，是指经营机构根据合同约定为投资者提供的行权申报及相关服务，具体服务内容和各自权利义务由经营机构与投资者在经纪合同中进行约定。</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（十二）行权价格，是指股票期权合约中约定的在行权时买入、卖出约定标的证券或者用于计算行权价差的价格。</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lastRenderedPageBreak/>
        <w:t>（十三）结算，包括对股票期权交易双方的日常交易结算和行权结算。日常交易结算是指股票期权日常交易的资金清算与交收，行权结算是指股票期权行权的资金清算与交</w:t>
      </w:r>
      <w:proofErr w:type="gramStart"/>
      <w:r w:rsidRPr="00FC5FE5">
        <w:rPr>
          <w:rFonts w:ascii="宋体" w:eastAsia="宋体" w:hAnsi="宋体" w:cs="宋体" w:hint="eastAsia"/>
          <w:color w:val="000000"/>
          <w:kern w:val="0"/>
          <w:sz w:val="24"/>
          <w:szCs w:val="24"/>
        </w:rPr>
        <w:t>收以及</w:t>
      </w:r>
      <w:proofErr w:type="gramEnd"/>
      <w:r w:rsidRPr="00FC5FE5">
        <w:rPr>
          <w:rFonts w:ascii="宋体" w:eastAsia="宋体" w:hAnsi="宋体" w:cs="宋体" w:hint="eastAsia"/>
          <w:color w:val="000000"/>
          <w:kern w:val="0"/>
          <w:sz w:val="24"/>
          <w:szCs w:val="24"/>
        </w:rPr>
        <w:t>标的证券的清算与交割。股票期权日常交易结算与行权结算中的资金交收与标的证券交割统称为交收。</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（十四）备兑开仓，是指投资者事先交存足额合约标的作为将来行权结算所应交付的证券，并据此卖出相应数量的认购期权。</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（十五）认购期权，是指买方有权在将来特定时间以特定价格买入约定数量合约标的</w:t>
      </w:r>
      <w:proofErr w:type="gramStart"/>
      <w:r w:rsidRPr="00FC5FE5">
        <w:rPr>
          <w:rFonts w:ascii="宋体" w:eastAsia="宋体" w:hAnsi="宋体" w:cs="宋体" w:hint="eastAsia"/>
          <w:color w:val="000000"/>
          <w:kern w:val="0"/>
          <w:sz w:val="24"/>
          <w:szCs w:val="24"/>
        </w:rPr>
        <w:t>的</w:t>
      </w:r>
      <w:proofErr w:type="gramEnd"/>
      <w:r w:rsidRPr="00FC5FE5">
        <w:rPr>
          <w:rFonts w:ascii="宋体" w:eastAsia="宋体" w:hAnsi="宋体" w:cs="宋体" w:hint="eastAsia"/>
          <w:color w:val="000000"/>
          <w:kern w:val="0"/>
          <w:sz w:val="24"/>
          <w:szCs w:val="24"/>
        </w:rPr>
        <w:t>期权合约。</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（十六）认沽期权，是指买方有权在将来特定时间以特定价格卖出约定数量合约标的</w:t>
      </w:r>
      <w:proofErr w:type="gramStart"/>
      <w:r w:rsidRPr="00FC5FE5">
        <w:rPr>
          <w:rFonts w:ascii="宋体" w:eastAsia="宋体" w:hAnsi="宋体" w:cs="宋体" w:hint="eastAsia"/>
          <w:color w:val="000000"/>
          <w:kern w:val="0"/>
          <w:sz w:val="24"/>
          <w:szCs w:val="24"/>
        </w:rPr>
        <w:t>的</w:t>
      </w:r>
      <w:proofErr w:type="gramEnd"/>
      <w:r w:rsidRPr="00FC5FE5">
        <w:rPr>
          <w:rFonts w:ascii="宋体" w:eastAsia="宋体" w:hAnsi="宋体" w:cs="宋体" w:hint="eastAsia"/>
          <w:color w:val="000000"/>
          <w:kern w:val="0"/>
          <w:sz w:val="24"/>
          <w:szCs w:val="24"/>
        </w:rPr>
        <w:t>期权合约。</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（十七）其他未公开信息：是指除标的证券市场内幕信息以外、对标的证券的市场价格有重大影响且尚未公开的下列信息：</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1.证券交易场所、存管银行、证券资产托管机构、证券登记结算机构、依法设立的证券市场监测监控机构在经营、监控过程中形成或获取的证券交易、证券持有状况、资金数量等相关信息；</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2.证券期货经营机构、公</w:t>
      </w:r>
      <w:proofErr w:type="gramStart"/>
      <w:r w:rsidRPr="00FC5FE5">
        <w:rPr>
          <w:rFonts w:ascii="宋体" w:eastAsia="宋体" w:hAnsi="宋体" w:cs="宋体" w:hint="eastAsia"/>
          <w:color w:val="000000"/>
          <w:kern w:val="0"/>
          <w:sz w:val="24"/>
          <w:szCs w:val="24"/>
        </w:rPr>
        <w:t>募基金</w:t>
      </w:r>
      <w:proofErr w:type="gramEnd"/>
      <w:r w:rsidRPr="00FC5FE5">
        <w:rPr>
          <w:rFonts w:ascii="宋体" w:eastAsia="宋体" w:hAnsi="宋体" w:cs="宋体" w:hint="eastAsia"/>
          <w:color w:val="000000"/>
          <w:kern w:val="0"/>
          <w:sz w:val="24"/>
          <w:szCs w:val="24"/>
        </w:rPr>
        <w:t>管理人、商业银行、保险公司、信托公司、社保基金、私募证券投资基金等金融机构的证券投资相关信息；</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3.政府主管部门、监管机构或者有关单位，制定或</w:t>
      </w:r>
      <w:proofErr w:type="gramStart"/>
      <w:r w:rsidRPr="00FC5FE5">
        <w:rPr>
          <w:rFonts w:ascii="宋体" w:eastAsia="宋体" w:hAnsi="宋体" w:cs="宋体" w:hint="eastAsia"/>
          <w:color w:val="000000"/>
          <w:kern w:val="0"/>
          <w:sz w:val="24"/>
          <w:szCs w:val="24"/>
        </w:rPr>
        <w:t>作出</w:t>
      </w:r>
      <w:proofErr w:type="gramEnd"/>
      <w:r w:rsidRPr="00FC5FE5">
        <w:rPr>
          <w:rFonts w:ascii="宋体" w:eastAsia="宋体" w:hAnsi="宋体" w:cs="宋体" w:hint="eastAsia"/>
          <w:color w:val="000000"/>
          <w:kern w:val="0"/>
          <w:sz w:val="24"/>
          <w:szCs w:val="24"/>
        </w:rPr>
        <w:t>的可能对证券交易价格发生重大影响的政策或者决定；</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4.中国证监会认定的其他信息。</w:t>
      </w:r>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p>
    <w:p w:rsidR="00FC5FE5" w:rsidRPr="00FC5FE5" w:rsidRDefault="00FC5FE5" w:rsidP="00FC5FE5">
      <w:pPr>
        <w:widowControl/>
        <w:numPr>
          <w:ilvl w:val="0"/>
          <w:numId w:val="1"/>
        </w:numPr>
        <w:pBdr>
          <w:bottom w:val="dashed" w:sz="6" w:space="0" w:color="CCCCCC"/>
        </w:pBdr>
        <w:shd w:val="clear" w:color="auto" w:fill="F5F5F5"/>
        <w:spacing w:line="600" w:lineRule="atLeast"/>
        <w:ind w:left="0"/>
        <w:jc w:val="left"/>
        <w:rPr>
          <w:rFonts w:ascii="微软雅黑" w:eastAsia="微软雅黑" w:hAnsi="微软雅黑" w:cs="宋体" w:hint="eastAsia"/>
          <w:color w:val="000000"/>
          <w:kern w:val="0"/>
          <w:sz w:val="24"/>
          <w:szCs w:val="24"/>
        </w:rPr>
      </w:pPr>
      <w:hyperlink r:id="rId32" w:history="1">
        <w:r w:rsidRPr="00FC5FE5">
          <w:rPr>
            <w:rFonts w:ascii="微软雅黑" w:eastAsia="微软雅黑" w:hAnsi="微软雅黑" w:cs="宋体" w:hint="eastAsia"/>
            <w:b/>
            <w:bCs/>
            <w:color w:val="337AB7"/>
            <w:kern w:val="0"/>
            <w:sz w:val="24"/>
            <w:szCs w:val="24"/>
          </w:rPr>
          <w:t>第二十九条   </w:t>
        </w:r>
      </w:hyperlink>
    </w:p>
    <w:p w:rsidR="00FC5FE5" w:rsidRPr="00FC5FE5" w:rsidRDefault="00FC5FE5" w:rsidP="00FC5FE5">
      <w:pPr>
        <w:widowControl/>
        <w:numPr>
          <w:ilvl w:val="0"/>
          <w:numId w:val="1"/>
        </w:numPr>
        <w:pBdr>
          <w:bottom w:val="dashed" w:sz="6" w:space="0"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left="600"/>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其他交易场所经中国证监会批准可以开展股票期权交易，具体业务规范参照本办法的有关规定执行。</w:t>
      </w:r>
    </w:p>
    <w:p w:rsidR="00FC5FE5" w:rsidRPr="00FC5FE5" w:rsidRDefault="00FC5FE5" w:rsidP="00FC5FE5">
      <w:pPr>
        <w:widowControl/>
        <w:numPr>
          <w:ilvl w:val="0"/>
          <w:numId w:val="1"/>
        </w:numPr>
        <w:pBdr>
          <w:bottom w:val="dashed" w:sz="6" w:space="0" w:color="CCCCCC"/>
        </w:pBdr>
        <w:shd w:val="clear" w:color="auto" w:fill="F5F5F5"/>
        <w:spacing w:line="600" w:lineRule="atLeast"/>
        <w:ind w:left="0"/>
        <w:jc w:val="left"/>
        <w:rPr>
          <w:rFonts w:ascii="微软雅黑" w:eastAsia="微软雅黑" w:hAnsi="微软雅黑" w:cs="宋体" w:hint="eastAsia"/>
          <w:color w:val="000000"/>
          <w:kern w:val="0"/>
          <w:sz w:val="24"/>
          <w:szCs w:val="24"/>
        </w:rPr>
      </w:pPr>
      <w:hyperlink r:id="rId33" w:history="1">
        <w:r w:rsidRPr="00FC5FE5">
          <w:rPr>
            <w:rFonts w:ascii="微软雅黑" w:eastAsia="微软雅黑" w:hAnsi="微软雅黑" w:cs="宋体" w:hint="eastAsia"/>
            <w:b/>
            <w:bCs/>
            <w:color w:val="337AB7"/>
            <w:kern w:val="0"/>
            <w:sz w:val="24"/>
            <w:szCs w:val="24"/>
          </w:rPr>
          <w:t>第三十条   </w:t>
        </w:r>
      </w:hyperlink>
    </w:p>
    <w:p w:rsidR="00FC5FE5" w:rsidRPr="00FC5FE5" w:rsidRDefault="00FC5FE5" w:rsidP="00FC5FE5">
      <w:pPr>
        <w:widowControl/>
        <w:pBdr>
          <w:bottom w:val="dashed"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rPr>
          <w:rFonts w:ascii="宋体" w:eastAsia="宋体" w:hAnsi="宋体" w:cs="宋体" w:hint="eastAsia"/>
          <w:color w:val="000000"/>
          <w:kern w:val="0"/>
          <w:sz w:val="24"/>
          <w:szCs w:val="24"/>
        </w:rPr>
      </w:pPr>
      <w:r w:rsidRPr="00FC5FE5">
        <w:rPr>
          <w:rFonts w:ascii="宋体" w:eastAsia="宋体" w:hAnsi="宋体" w:cs="宋体" w:hint="eastAsia"/>
          <w:color w:val="000000"/>
          <w:kern w:val="0"/>
          <w:sz w:val="24"/>
          <w:szCs w:val="24"/>
        </w:rPr>
        <w:t>本办法自公布之日起施行。</w:t>
      </w:r>
    </w:p>
    <w:p w:rsidR="00553865" w:rsidRPr="00FC5FE5" w:rsidRDefault="00553865"/>
    <w:sectPr w:rsidR="00553865" w:rsidRPr="00FC5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57EF0"/>
    <w:multiLevelType w:val="multilevel"/>
    <w:tmpl w:val="08C8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EEA"/>
    <w:rsid w:val="00553865"/>
    <w:rsid w:val="00564EEA"/>
    <w:rsid w:val="00FC5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D239F-B78E-4B64-BB57-54EE96B7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5FE5"/>
    <w:rPr>
      <w:color w:val="0000FF"/>
      <w:u w:val="single"/>
    </w:rPr>
  </w:style>
  <w:style w:type="paragraph" w:styleId="HTML">
    <w:name w:val="HTML Preformatted"/>
    <w:basedOn w:val="a"/>
    <w:link w:val="HTMLChar"/>
    <w:uiPriority w:val="99"/>
    <w:semiHidden/>
    <w:unhideWhenUsed/>
    <w:rsid w:val="00FC5F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FC5FE5"/>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45203">
      <w:bodyDiv w:val="1"/>
      <w:marLeft w:val="0"/>
      <w:marRight w:val="0"/>
      <w:marTop w:val="0"/>
      <w:marBottom w:val="0"/>
      <w:divBdr>
        <w:top w:val="none" w:sz="0" w:space="0" w:color="auto"/>
        <w:left w:val="none" w:sz="0" w:space="0" w:color="auto"/>
        <w:bottom w:val="none" w:sz="0" w:space="0" w:color="auto"/>
        <w:right w:val="none" w:sz="0" w:space="0" w:color="auto"/>
      </w:divBdr>
      <w:divsChild>
        <w:div w:id="1520466751">
          <w:marLeft w:val="600"/>
          <w:marRight w:val="0"/>
          <w:marTop w:val="0"/>
          <w:marBottom w:val="600"/>
          <w:divBdr>
            <w:top w:val="none" w:sz="0" w:space="0" w:color="auto"/>
            <w:left w:val="none" w:sz="0" w:space="0" w:color="auto"/>
            <w:bottom w:val="none" w:sz="0" w:space="0" w:color="auto"/>
            <w:right w:val="none" w:sz="0" w:space="0" w:color="auto"/>
          </w:divBdr>
        </w:div>
        <w:div w:id="1288245563">
          <w:marLeft w:val="600"/>
          <w:marRight w:val="0"/>
          <w:marTop w:val="0"/>
          <w:marBottom w:val="600"/>
          <w:divBdr>
            <w:top w:val="none" w:sz="0" w:space="0" w:color="auto"/>
            <w:left w:val="none" w:sz="0" w:space="0" w:color="auto"/>
            <w:bottom w:val="none" w:sz="0" w:space="0" w:color="auto"/>
            <w:right w:val="none" w:sz="0" w:space="0" w:color="auto"/>
          </w:divBdr>
        </w:div>
        <w:div w:id="369650724">
          <w:marLeft w:val="600"/>
          <w:marRight w:val="0"/>
          <w:marTop w:val="0"/>
          <w:marBottom w:val="600"/>
          <w:divBdr>
            <w:top w:val="none" w:sz="0" w:space="0" w:color="auto"/>
            <w:left w:val="none" w:sz="0" w:space="0" w:color="auto"/>
            <w:bottom w:val="none" w:sz="0" w:space="0" w:color="auto"/>
            <w:right w:val="none" w:sz="0" w:space="0" w:color="auto"/>
          </w:divBdr>
        </w:div>
        <w:div w:id="1458327794">
          <w:marLeft w:val="600"/>
          <w:marRight w:val="0"/>
          <w:marTop w:val="0"/>
          <w:marBottom w:val="600"/>
          <w:divBdr>
            <w:top w:val="none" w:sz="0" w:space="0" w:color="auto"/>
            <w:left w:val="none" w:sz="0" w:space="0" w:color="auto"/>
            <w:bottom w:val="none" w:sz="0" w:space="0" w:color="auto"/>
            <w:right w:val="none" w:sz="0" w:space="0" w:color="auto"/>
          </w:divBdr>
        </w:div>
        <w:div w:id="1996108659">
          <w:marLeft w:val="600"/>
          <w:marRight w:val="0"/>
          <w:marTop w:val="0"/>
          <w:marBottom w:val="600"/>
          <w:divBdr>
            <w:top w:val="none" w:sz="0" w:space="0" w:color="auto"/>
            <w:left w:val="none" w:sz="0" w:space="0" w:color="auto"/>
            <w:bottom w:val="none" w:sz="0" w:space="0" w:color="auto"/>
            <w:right w:val="none" w:sz="0" w:space="0" w:color="auto"/>
          </w:divBdr>
        </w:div>
        <w:div w:id="1368943082">
          <w:marLeft w:val="600"/>
          <w:marRight w:val="0"/>
          <w:marTop w:val="0"/>
          <w:marBottom w:val="600"/>
          <w:divBdr>
            <w:top w:val="none" w:sz="0" w:space="0" w:color="auto"/>
            <w:left w:val="none" w:sz="0" w:space="0" w:color="auto"/>
            <w:bottom w:val="none" w:sz="0" w:space="0" w:color="auto"/>
            <w:right w:val="none" w:sz="0" w:space="0" w:color="auto"/>
          </w:divBdr>
        </w:div>
        <w:div w:id="1347944860">
          <w:marLeft w:val="600"/>
          <w:marRight w:val="0"/>
          <w:marTop w:val="0"/>
          <w:marBottom w:val="600"/>
          <w:divBdr>
            <w:top w:val="none" w:sz="0" w:space="0" w:color="auto"/>
            <w:left w:val="none" w:sz="0" w:space="0" w:color="auto"/>
            <w:bottom w:val="none" w:sz="0" w:space="0" w:color="auto"/>
            <w:right w:val="none" w:sz="0" w:space="0" w:color="auto"/>
          </w:divBdr>
        </w:div>
        <w:div w:id="995453814">
          <w:marLeft w:val="600"/>
          <w:marRight w:val="0"/>
          <w:marTop w:val="0"/>
          <w:marBottom w:val="600"/>
          <w:divBdr>
            <w:top w:val="none" w:sz="0" w:space="0" w:color="auto"/>
            <w:left w:val="none" w:sz="0" w:space="0" w:color="auto"/>
            <w:bottom w:val="none" w:sz="0" w:space="0" w:color="auto"/>
            <w:right w:val="none" w:sz="0" w:space="0" w:color="auto"/>
          </w:divBdr>
        </w:div>
        <w:div w:id="1077748895">
          <w:marLeft w:val="600"/>
          <w:marRight w:val="0"/>
          <w:marTop w:val="0"/>
          <w:marBottom w:val="600"/>
          <w:divBdr>
            <w:top w:val="none" w:sz="0" w:space="0" w:color="auto"/>
            <w:left w:val="none" w:sz="0" w:space="0" w:color="auto"/>
            <w:bottom w:val="none" w:sz="0" w:space="0" w:color="auto"/>
            <w:right w:val="none" w:sz="0" w:space="0" w:color="auto"/>
          </w:divBdr>
        </w:div>
        <w:div w:id="1945381203">
          <w:marLeft w:val="600"/>
          <w:marRight w:val="0"/>
          <w:marTop w:val="0"/>
          <w:marBottom w:val="600"/>
          <w:divBdr>
            <w:top w:val="none" w:sz="0" w:space="0" w:color="auto"/>
            <w:left w:val="none" w:sz="0" w:space="0" w:color="auto"/>
            <w:bottom w:val="none" w:sz="0" w:space="0" w:color="auto"/>
            <w:right w:val="none" w:sz="0" w:space="0" w:color="auto"/>
          </w:divBdr>
        </w:div>
        <w:div w:id="1538815738">
          <w:marLeft w:val="600"/>
          <w:marRight w:val="0"/>
          <w:marTop w:val="0"/>
          <w:marBottom w:val="600"/>
          <w:divBdr>
            <w:top w:val="none" w:sz="0" w:space="0" w:color="auto"/>
            <w:left w:val="none" w:sz="0" w:space="0" w:color="auto"/>
            <w:bottom w:val="none" w:sz="0" w:space="0" w:color="auto"/>
            <w:right w:val="none" w:sz="0" w:space="0" w:color="auto"/>
          </w:divBdr>
        </w:div>
        <w:div w:id="2114393337">
          <w:marLeft w:val="600"/>
          <w:marRight w:val="0"/>
          <w:marTop w:val="0"/>
          <w:marBottom w:val="600"/>
          <w:divBdr>
            <w:top w:val="none" w:sz="0" w:space="0" w:color="auto"/>
            <w:left w:val="none" w:sz="0" w:space="0" w:color="auto"/>
            <w:bottom w:val="none" w:sz="0" w:space="0" w:color="auto"/>
            <w:right w:val="none" w:sz="0" w:space="0" w:color="auto"/>
          </w:divBdr>
        </w:div>
        <w:div w:id="690493219">
          <w:marLeft w:val="600"/>
          <w:marRight w:val="0"/>
          <w:marTop w:val="0"/>
          <w:marBottom w:val="600"/>
          <w:divBdr>
            <w:top w:val="none" w:sz="0" w:space="0" w:color="auto"/>
            <w:left w:val="none" w:sz="0" w:space="0" w:color="auto"/>
            <w:bottom w:val="none" w:sz="0" w:space="0" w:color="auto"/>
            <w:right w:val="none" w:sz="0" w:space="0" w:color="auto"/>
          </w:divBdr>
        </w:div>
        <w:div w:id="870144540">
          <w:marLeft w:val="600"/>
          <w:marRight w:val="0"/>
          <w:marTop w:val="0"/>
          <w:marBottom w:val="600"/>
          <w:divBdr>
            <w:top w:val="none" w:sz="0" w:space="0" w:color="auto"/>
            <w:left w:val="none" w:sz="0" w:space="0" w:color="auto"/>
            <w:bottom w:val="none" w:sz="0" w:space="0" w:color="auto"/>
            <w:right w:val="none" w:sz="0" w:space="0" w:color="auto"/>
          </w:divBdr>
        </w:div>
        <w:div w:id="2075346063">
          <w:marLeft w:val="600"/>
          <w:marRight w:val="0"/>
          <w:marTop w:val="0"/>
          <w:marBottom w:val="600"/>
          <w:divBdr>
            <w:top w:val="none" w:sz="0" w:space="0" w:color="auto"/>
            <w:left w:val="none" w:sz="0" w:space="0" w:color="auto"/>
            <w:bottom w:val="none" w:sz="0" w:space="0" w:color="auto"/>
            <w:right w:val="none" w:sz="0" w:space="0" w:color="auto"/>
          </w:divBdr>
        </w:div>
        <w:div w:id="1142038458">
          <w:marLeft w:val="600"/>
          <w:marRight w:val="0"/>
          <w:marTop w:val="0"/>
          <w:marBottom w:val="600"/>
          <w:divBdr>
            <w:top w:val="none" w:sz="0" w:space="0" w:color="auto"/>
            <w:left w:val="none" w:sz="0" w:space="0" w:color="auto"/>
            <w:bottom w:val="none" w:sz="0" w:space="0" w:color="auto"/>
            <w:right w:val="none" w:sz="0" w:space="0" w:color="auto"/>
          </w:divBdr>
        </w:div>
        <w:div w:id="1166047838">
          <w:marLeft w:val="600"/>
          <w:marRight w:val="0"/>
          <w:marTop w:val="0"/>
          <w:marBottom w:val="600"/>
          <w:divBdr>
            <w:top w:val="none" w:sz="0" w:space="0" w:color="auto"/>
            <w:left w:val="none" w:sz="0" w:space="0" w:color="auto"/>
            <w:bottom w:val="none" w:sz="0" w:space="0" w:color="auto"/>
            <w:right w:val="none" w:sz="0" w:space="0" w:color="auto"/>
          </w:divBdr>
        </w:div>
        <w:div w:id="439032420">
          <w:marLeft w:val="600"/>
          <w:marRight w:val="0"/>
          <w:marTop w:val="0"/>
          <w:marBottom w:val="600"/>
          <w:divBdr>
            <w:top w:val="none" w:sz="0" w:space="0" w:color="auto"/>
            <w:left w:val="none" w:sz="0" w:space="0" w:color="auto"/>
            <w:bottom w:val="none" w:sz="0" w:space="0" w:color="auto"/>
            <w:right w:val="none" w:sz="0" w:space="0" w:color="auto"/>
          </w:divBdr>
        </w:div>
        <w:div w:id="166099751">
          <w:marLeft w:val="600"/>
          <w:marRight w:val="0"/>
          <w:marTop w:val="0"/>
          <w:marBottom w:val="600"/>
          <w:divBdr>
            <w:top w:val="none" w:sz="0" w:space="0" w:color="auto"/>
            <w:left w:val="none" w:sz="0" w:space="0" w:color="auto"/>
            <w:bottom w:val="none" w:sz="0" w:space="0" w:color="auto"/>
            <w:right w:val="none" w:sz="0" w:space="0" w:color="auto"/>
          </w:divBdr>
        </w:div>
        <w:div w:id="626352756">
          <w:marLeft w:val="600"/>
          <w:marRight w:val="0"/>
          <w:marTop w:val="0"/>
          <w:marBottom w:val="600"/>
          <w:divBdr>
            <w:top w:val="none" w:sz="0" w:space="0" w:color="auto"/>
            <w:left w:val="none" w:sz="0" w:space="0" w:color="auto"/>
            <w:bottom w:val="none" w:sz="0" w:space="0" w:color="auto"/>
            <w:right w:val="none" w:sz="0" w:space="0" w:color="auto"/>
          </w:divBdr>
        </w:div>
        <w:div w:id="531461181">
          <w:marLeft w:val="600"/>
          <w:marRight w:val="0"/>
          <w:marTop w:val="0"/>
          <w:marBottom w:val="600"/>
          <w:divBdr>
            <w:top w:val="none" w:sz="0" w:space="0" w:color="auto"/>
            <w:left w:val="none" w:sz="0" w:space="0" w:color="auto"/>
            <w:bottom w:val="none" w:sz="0" w:space="0" w:color="auto"/>
            <w:right w:val="none" w:sz="0" w:space="0" w:color="auto"/>
          </w:divBdr>
        </w:div>
        <w:div w:id="1674800922">
          <w:marLeft w:val="600"/>
          <w:marRight w:val="0"/>
          <w:marTop w:val="0"/>
          <w:marBottom w:val="600"/>
          <w:divBdr>
            <w:top w:val="none" w:sz="0" w:space="0" w:color="auto"/>
            <w:left w:val="none" w:sz="0" w:space="0" w:color="auto"/>
            <w:bottom w:val="none" w:sz="0" w:space="0" w:color="auto"/>
            <w:right w:val="none" w:sz="0" w:space="0" w:color="auto"/>
          </w:divBdr>
        </w:div>
        <w:div w:id="1850753580">
          <w:marLeft w:val="600"/>
          <w:marRight w:val="0"/>
          <w:marTop w:val="0"/>
          <w:marBottom w:val="600"/>
          <w:divBdr>
            <w:top w:val="none" w:sz="0" w:space="0" w:color="auto"/>
            <w:left w:val="none" w:sz="0" w:space="0" w:color="auto"/>
            <w:bottom w:val="none" w:sz="0" w:space="0" w:color="auto"/>
            <w:right w:val="none" w:sz="0" w:space="0" w:color="auto"/>
          </w:divBdr>
        </w:div>
        <w:div w:id="715933001">
          <w:marLeft w:val="600"/>
          <w:marRight w:val="0"/>
          <w:marTop w:val="0"/>
          <w:marBottom w:val="600"/>
          <w:divBdr>
            <w:top w:val="none" w:sz="0" w:space="0" w:color="auto"/>
            <w:left w:val="none" w:sz="0" w:space="0" w:color="auto"/>
            <w:bottom w:val="none" w:sz="0" w:space="0" w:color="auto"/>
            <w:right w:val="none" w:sz="0" w:space="0" w:color="auto"/>
          </w:divBdr>
        </w:div>
        <w:div w:id="686254727">
          <w:marLeft w:val="600"/>
          <w:marRight w:val="0"/>
          <w:marTop w:val="0"/>
          <w:marBottom w:val="600"/>
          <w:divBdr>
            <w:top w:val="none" w:sz="0" w:space="0" w:color="auto"/>
            <w:left w:val="none" w:sz="0" w:space="0" w:color="auto"/>
            <w:bottom w:val="none" w:sz="0" w:space="0" w:color="auto"/>
            <w:right w:val="none" w:sz="0" w:space="0" w:color="auto"/>
          </w:divBdr>
        </w:div>
        <w:div w:id="1816334348">
          <w:marLeft w:val="600"/>
          <w:marRight w:val="0"/>
          <w:marTop w:val="0"/>
          <w:marBottom w:val="600"/>
          <w:divBdr>
            <w:top w:val="none" w:sz="0" w:space="0" w:color="auto"/>
            <w:left w:val="none" w:sz="0" w:space="0" w:color="auto"/>
            <w:bottom w:val="none" w:sz="0" w:space="0" w:color="auto"/>
            <w:right w:val="none" w:sz="0" w:space="0" w:color="auto"/>
          </w:divBdr>
        </w:div>
        <w:div w:id="736515775">
          <w:marLeft w:val="600"/>
          <w:marRight w:val="0"/>
          <w:marTop w:val="0"/>
          <w:marBottom w:val="600"/>
          <w:divBdr>
            <w:top w:val="none" w:sz="0" w:space="0" w:color="auto"/>
            <w:left w:val="none" w:sz="0" w:space="0" w:color="auto"/>
            <w:bottom w:val="none" w:sz="0" w:space="0" w:color="auto"/>
            <w:right w:val="none" w:sz="0" w:space="0" w:color="auto"/>
          </w:divBdr>
        </w:div>
        <w:div w:id="162745816">
          <w:marLeft w:val="600"/>
          <w:marRight w:val="0"/>
          <w:marTop w:val="0"/>
          <w:marBottom w:val="600"/>
          <w:divBdr>
            <w:top w:val="none" w:sz="0" w:space="0" w:color="auto"/>
            <w:left w:val="none" w:sz="0" w:space="0" w:color="auto"/>
            <w:bottom w:val="none" w:sz="0" w:space="0" w:color="auto"/>
            <w:right w:val="none" w:sz="0" w:space="0" w:color="auto"/>
          </w:divBdr>
        </w:div>
        <w:div w:id="1911845369">
          <w:marLeft w:val="600"/>
          <w:marRight w:val="0"/>
          <w:marTop w:val="0"/>
          <w:marBottom w:val="600"/>
          <w:divBdr>
            <w:top w:val="none" w:sz="0" w:space="0" w:color="auto"/>
            <w:left w:val="none" w:sz="0" w:space="0" w:color="auto"/>
            <w:bottom w:val="none" w:sz="0" w:space="0" w:color="auto"/>
            <w:right w:val="none" w:sz="0" w:space="0" w:color="auto"/>
          </w:divBdr>
        </w:div>
        <w:div w:id="392386967">
          <w:marLeft w:val="60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hyperlink" Target="javascript:void(0)" TargetMode="External"/><Relationship Id="rId34" Type="http://schemas.openxmlformats.org/officeDocument/2006/relationships/fontTable" Target="fontTable.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theme" Target="theme/theme1.xml"/><Relationship Id="rId8"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1165</Words>
  <Characters>6641</Characters>
  <Application>Microsoft Office Word</Application>
  <DocSecurity>0</DocSecurity>
  <Lines>55</Lines>
  <Paragraphs>15</Paragraphs>
  <ScaleCrop>false</ScaleCrop>
  <Company/>
  <LinksUpToDate>false</LinksUpToDate>
  <CharactersWithSpaces>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文春华</dc:creator>
  <cp:keywords/>
  <dc:description/>
  <cp:lastModifiedBy>文春华</cp:lastModifiedBy>
  <cp:revision>3</cp:revision>
  <dcterms:created xsi:type="dcterms:W3CDTF">2020-12-31T08:57:00Z</dcterms:created>
  <dcterms:modified xsi:type="dcterms:W3CDTF">2020-12-31T08:58:00Z</dcterms:modified>
</cp:coreProperties>
</file>