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286A5">
      <w:pPr>
        <w:snapToGrid w:val="0"/>
        <w:spacing w:line="540" w:lineRule="exact"/>
        <w:jc w:val="center"/>
        <w:rPr>
          <w:rFonts w:hint="eastAsia" w:ascii="黑体" w:hAnsi="黑体" w:eastAsia="黑体" w:cs="Times New Roman"/>
          <w:w w:val="100"/>
          <w:sz w:val="44"/>
          <w:szCs w:val="44"/>
          <w:lang w:val="en-US" w:eastAsia="zh-CN"/>
        </w:rPr>
      </w:pPr>
      <w:bookmarkStart w:id="0" w:name="wen"/>
      <w:bookmarkEnd w:id="0"/>
      <w:r>
        <w:rPr>
          <w:rFonts w:hint="eastAsia" w:ascii="黑体" w:hAnsi="黑体" w:eastAsia="黑体" w:cs="Times New Roman"/>
          <w:w w:val="100"/>
          <w:sz w:val="44"/>
          <w:szCs w:val="44"/>
        </w:rPr>
        <w:t>中信建投期货</w:t>
      </w:r>
      <w:r>
        <w:rPr>
          <w:rFonts w:hint="eastAsia" w:ascii="黑体" w:hAnsi="黑体" w:eastAsia="黑体" w:cs="Times New Roman"/>
          <w:w w:val="100"/>
          <w:sz w:val="44"/>
          <w:szCs w:val="44"/>
          <w:lang w:val="en-US" w:eastAsia="zh-CN"/>
        </w:rPr>
        <w:t>有限公司</w:t>
      </w:r>
    </w:p>
    <w:p w14:paraId="40DA82B9">
      <w:pPr>
        <w:snapToGrid w:val="0"/>
        <w:spacing w:line="540" w:lineRule="exact"/>
        <w:jc w:val="center"/>
        <w:rPr>
          <w:rFonts w:hint="eastAsia" w:ascii="黑体" w:hAnsi="黑体" w:eastAsia="黑体" w:cs="Times New Roman"/>
          <w:w w:val="100"/>
          <w:sz w:val="44"/>
          <w:szCs w:val="44"/>
        </w:rPr>
      </w:pPr>
      <w:r>
        <w:rPr>
          <w:rFonts w:hint="eastAsia" w:ascii="黑体" w:hAnsi="黑体" w:eastAsia="黑体" w:cs="Times New Roman"/>
          <w:w w:val="100"/>
          <w:sz w:val="44"/>
          <w:szCs w:val="44"/>
        </w:rPr>
        <w:t>投资者适当性管理办法</w:t>
      </w:r>
      <w:bookmarkStart w:id="1" w:name="wenwei"/>
      <w:bookmarkEnd w:id="1"/>
    </w:p>
    <w:p w14:paraId="167764B7">
      <w:pPr>
        <w:spacing w:line="560" w:lineRule="exact"/>
        <w:jc w:val="center"/>
        <w:rPr>
          <w:rFonts w:ascii="黑体" w:hAnsi="黑体" w:eastAsia="黑体" w:cs="黑体"/>
          <w:w w:val="80"/>
          <w:sz w:val="44"/>
          <w:szCs w:val="44"/>
        </w:rPr>
      </w:pPr>
    </w:p>
    <w:p w14:paraId="6AE0EDB3">
      <w:pPr>
        <w:spacing w:line="560" w:lineRule="exact"/>
        <w:jc w:val="center"/>
        <w:rPr>
          <w:rFonts w:ascii="黑体" w:hAnsi="黑体" w:eastAsia="黑体"/>
          <w:sz w:val="32"/>
          <w:szCs w:val="32"/>
        </w:rPr>
      </w:pPr>
      <w:r>
        <w:rPr>
          <w:rFonts w:hint="eastAsia" w:ascii="黑体" w:hAnsi="黑体" w:eastAsia="黑体"/>
          <w:sz w:val="32"/>
          <w:szCs w:val="32"/>
        </w:rPr>
        <w:t>第一章  总则</w:t>
      </w:r>
    </w:p>
    <w:p w14:paraId="7B84892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 w:hAnsi="仿宋" w:eastAsia="仿宋" w:cs="仿宋"/>
          <w:sz w:val="32"/>
          <w:szCs w:val="32"/>
        </w:rPr>
        <w:t>为贯彻投资者适当性管理工作，切实维护投资者合法权益，根据</w:t>
      </w:r>
      <w:r>
        <w:rPr>
          <w:rFonts w:hint="eastAsia" w:ascii="仿宋" w:hAnsi="仿宋" w:eastAsia="仿宋" w:cs="仿宋"/>
          <w:sz w:val="32"/>
          <w:szCs w:val="32"/>
          <w:lang w:eastAsia="zh-CN"/>
        </w:rPr>
        <w:t>《中华人民共和国期货和衍生品法》</w:t>
      </w:r>
      <w:r>
        <w:rPr>
          <w:rFonts w:hint="eastAsia" w:ascii="仿宋" w:hAnsi="仿宋" w:eastAsia="仿宋" w:cs="仿宋"/>
          <w:sz w:val="32"/>
          <w:szCs w:val="32"/>
        </w:rPr>
        <w:t>《期货交易管理条例》《</w:t>
      </w:r>
      <w:bookmarkStart w:id="2" w:name="OLE_LINK4"/>
      <w:r>
        <w:rPr>
          <w:rFonts w:hint="eastAsia" w:ascii="仿宋" w:hAnsi="仿宋" w:eastAsia="仿宋" w:cs="仿宋"/>
          <w:sz w:val="32"/>
          <w:szCs w:val="32"/>
        </w:rPr>
        <w:t>证券期货投资者适当性管理办法</w:t>
      </w:r>
      <w:bookmarkEnd w:id="2"/>
      <w:r>
        <w:rPr>
          <w:rFonts w:hint="eastAsia" w:ascii="仿宋" w:hAnsi="仿宋" w:eastAsia="仿宋" w:cs="仿宋"/>
          <w:sz w:val="32"/>
          <w:szCs w:val="32"/>
        </w:rPr>
        <w:t>》《</w:t>
      </w:r>
      <w:r>
        <w:rPr>
          <w:rFonts w:hint="eastAsia" w:ascii="仿宋" w:hAnsi="仿宋" w:eastAsia="仿宋"/>
          <w:color w:val="000000"/>
          <w:sz w:val="32"/>
          <w:szCs w:val="32"/>
        </w:rPr>
        <w:t>期货经营机构交易者适当性管理实施细则</w:t>
      </w:r>
      <w:r>
        <w:rPr>
          <w:rFonts w:hint="eastAsia" w:ascii="仿宋" w:hAnsi="仿宋" w:eastAsia="仿宋" w:cs="仿宋"/>
          <w:sz w:val="32"/>
          <w:szCs w:val="32"/>
        </w:rPr>
        <w:t>》《</w:t>
      </w:r>
      <w:bookmarkStart w:id="3" w:name="OLE_LINK5"/>
      <w:r>
        <w:rPr>
          <w:rFonts w:hint="eastAsia" w:ascii="仿宋" w:hAnsi="仿宋" w:eastAsia="仿宋" w:cs="仿宋"/>
          <w:sz w:val="32"/>
          <w:szCs w:val="32"/>
        </w:rPr>
        <w:t>基金募集机构投资者适当性管理实施指引</w:t>
      </w:r>
      <w:bookmarkEnd w:id="3"/>
      <w:r>
        <w:rPr>
          <w:rFonts w:hint="eastAsia" w:ascii="仿宋" w:hAnsi="仿宋" w:eastAsia="仿宋" w:cs="仿宋"/>
          <w:sz w:val="32"/>
          <w:szCs w:val="32"/>
        </w:rPr>
        <w:t>（试行）》等相关法律、行政法规、规章制度及自律规则，制定本办法。</w:t>
      </w:r>
    </w:p>
    <w:p w14:paraId="1F70458C">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公司向投资者公开销售或非公开转让期货及其他衍生</w:t>
      </w:r>
      <w:r>
        <w:rPr>
          <w:rFonts w:hint="eastAsia" w:ascii="仿宋" w:hAnsi="仿宋" w:eastAsia="仿宋" w:cs="仿宋"/>
          <w:sz w:val="32"/>
          <w:szCs w:val="32"/>
          <w:lang w:val="en-US" w:eastAsia="zh-CN"/>
        </w:rPr>
        <w:t>产</w:t>
      </w:r>
      <w:r>
        <w:rPr>
          <w:rFonts w:hint="eastAsia" w:ascii="仿宋" w:hAnsi="仿宋" w:eastAsia="仿宋" w:cs="仿宋"/>
          <w:sz w:val="32"/>
          <w:szCs w:val="32"/>
        </w:rPr>
        <w:t>品、向投资者销售公开或者非公开募集的证券投资基金产品</w:t>
      </w:r>
      <w:r>
        <w:rPr>
          <w:rFonts w:hint="default" w:ascii="仿宋" w:hAnsi="仿宋" w:eastAsia="仿宋" w:cs="仿宋"/>
          <w:sz w:val="32"/>
          <w:szCs w:val="32"/>
          <w:lang w:val="en-US" w:eastAsia="zh-CN"/>
        </w:rPr>
        <w:t>、</w:t>
      </w:r>
      <w:r>
        <w:rPr>
          <w:rFonts w:hint="eastAsia" w:ascii="仿宋" w:hAnsi="仿宋" w:eastAsia="仿宋" w:cs="仿宋"/>
          <w:sz w:val="32"/>
          <w:szCs w:val="32"/>
        </w:rPr>
        <w:t>资产管理计划</w:t>
      </w:r>
      <w:r>
        <w:rPr>
          <w:rFonts w:hint="eastAsia" w:ascii="仿宋" w:hAnsi="仿宋" w:eastAsia="仿宋" w:cs="仿宋"/>
          <w:sz w:val="32"/>
          <w:szCs w:val="32"/>
          <w:lang w:eastAsia="zh-CN"/>
        </w:rPr>
        <w:t>，</w:t>
      </w:r>
      <w:r>
        <w:rPr>
          <w:rFonts w:hint="eastAsia" w:ascii="仿宋" w:hAnsi="仿宋" w:eastAsia="仿宋" w:cs="仿宋"/>
          <w:sz w:val="32"/>
          <w:szCs w:val="32"/>
        </w:rPr>
        <w:t>或者为投资者提供相关业务服务的，适用本办法。</w:t>
      </w:r>
    </w:p>
    <w:p w14:paraId="75BAE8EA">
      <w:pPr>
        <w:pStyle w:val="16"/>
        <w:numPr>
          <w:ilvl w:val="-1"/>
          <w:numId w:val="0"/>
        </w:numPr>
        <w:spacing w:line="560" w:lineRule="exact"/>
        <w:ind w:left="0" w:leftChars="0"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本办法所称投资者，包括《</w:t>
      </w:r>
      <w:r>
        <w:rPr>
          <w:rFonts w:hint="eastAsia" w:ascii="仿宋" w:hAnsi="仿宋" w:eastAsia="仿宋" w:cs="仿宋"/>
          <w:sz w:val="32"/>
          <w:szCs w:val="32"/>
          <w:lang w:eastAsia="zh-CN"/>
        </w:rPr>
        <w:t>中华人民共和国期货和衍生品法</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olor w:val="000000"/>
          <w:sz w:val="32"/>
          <w:szCs w:val="32"/>
        </w:rPr>
        <w:t>期货经营机构交易者适当性管理实施细则</w:t>
      </w:r>
      <w:r>
        <w:rPr>
          <w:rFonts w:hint="eastAsia" w:ascii="仿宋" w:hAnsi="仿宋" w:eastAsia="仿宋" w:cs="仿宋"/>
          <w:sz w:val="32"/>
          <w:szCs w:val="32"/>
        </w:rPr>
        <w:t>》</w:t>
      </w:r>
      <w:r>
        <w:rPr>
          <w:rFonts w:hint="eastAsia" w:ascii="仿宋" w:hAnsi="仿宋" w:eastAsia="仿宋" w:cs="仿宋"/>
          <w:sz w:val="32"/>
          <w:szCs w:val="32"/>
          <w:lang w:val="en-US" w:eastAsia="zh-CN"/>
        </w:rPr>
        <w:t>规定的交易者，以及《</w:t>
      </w:r>
      <w:r>
        <w:rPr>
          <w:rFonts w:hint="eastAsia" w:ascii="仿宋" w:hAnsi="仿宋" w:eastAsia="仿宋" w:cs="仿宋"/>
          <w:sz w:val="32"/>
          <w:szCs w:val="32"/>
        </w:rPr>
        <w:t>证券期货投资者适当性管理办法</w:t>
      </w:r>
      <w:r>
        <w:rPr>
          <w:rFonts w:hint="eastAsia" w:ascii="仿宋" w:hAnsi="仿宋" w:eastAsia="仿宋" w:cs="仿宋"/>
          <w:sz w:val="32"/>
          <w:szCs w:val="32"/>
          <w:lang w:val="en-US" w:eastAsia="zh-CN"/>
        </w:rPr>
        <w:t>》</w:t>
      </w:r>
      <w:r>
        <w:rPr>
          <w:rFonts w:hint="eastAsia" w:ascii="仿宋" w:hAnsi="仿宋" w:eastAsia="仿宋" w:cs="仿宋"/>
          <w:sz w:val="32"/>
          <w:szCs w:val="32"/>
        </w:rPr>
        <w:t>《基金募集机构投资者适当性管理实施指引（试行）》</w:t>
      </w:r>
      <w:r>
        <w:rPr>
          <w:rFonts w:hint="eastAsia" w:ascii="仿宋" w:hAnsi="仿宋" w:eastAsia="仿宋" w:cs="仿宋"/>
          <w:sz w:val="32"/>
          <w:szCs w:val="32"/>
          <w:lang w:val="en-US" w:eastAsia="zh-CN"/>
        </w:rPr>
        <w:t>规定的投资者等。</w:t>
      </w:r>
    </w:p>
    <w:p w14:paraId="533ADDE4">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公司所有参与</w:t>
      </w:r>
      <w:r>
        <w:rPr>
          <w:rFonts w:hint="eastAsia" w:ascii="仿宋" w:hAnsi="仿宋" w:eastAsia="仿宋" w:cs="仿宋"/>
          <w:sz w:val="32"/>
          <w:szCs w:val="32"/>
          <w:lang w:eastAsia="zh-CN"/>
        </w:rPr>
        <w:t>投资者</w:t>
      </w:r>
      <w:r>
        <w:rPr>
          <w:rFonts w:hint="eastAsia" w:ascii="仿宋" w:hAnsi="仿宋" w:eastAsia="仿宋" w:cs="仿宋"/>
          <w:sz w:val="32"/>
          <w:szCs w:val="32"/>
        </w:rPr>
        <w:t>管理、产品管理、产品销售、服务提供的部门以及IB营业部开展投资者适当性管理工作，</w:t>
      </w:r>
      <w:r>
        <w:rPr>
          <w:rFonts w:hint="eastAsia" w:ascii="仿宋" w:hAnsi="仿宋" w:eastAsia="仿宋" w:cs="仿宋"/>
          <w:sz w:val="32"/>
          <w:szCs w:val="32"/>
          <w:lang w:val="en-US" w:eastAsia="zh-CN"/>
        </w:rPr>
        <w:t>应</w:t>
      </w:r>
      <w:r>
        <w:rPr>
          <w:rFonts w:hint="eastAsia" w:ascii="仿宋" w:hAnsi="仿宋" w:eastAsia="仿宋" w:cs="仿宋"/>
          <w:sz w:val="32"/>
          <w:szCs w:val="32"/>
        </w:rPr>
        <w:t>遵照</w:t>
      </w:r>
      <w:r>
        <w:rPr>
          <w:rFonts w:hint="eastAsia" w:ascii="仿宋" w:hAnsi="仿宋" w:eastAsia="仿宋" w:cs="仿宋"/>
          <w:sz w:val="32"/>
          <w:szCs w:val="32"/>
          <w:lang w:val="en-US" w:eastAsia="zh-CN"/>
        </w:rPr>
        <w:t>执行</w:t>
      </w:r>
      <w:r>
        <w:rPr>
          <w:rFonts w:hint="eastAsia" w:ascii="仿宋" w:hAnsi="仿宋" w:eastAsia="仿宋" w:cs="仿宋"/>
          <w:sz w:val="32"/>
          <w:szCs w:val="32"/>
        </w:rPr>
        <w:t>本办法的规定。</w:t>
      </w:r>
    </w:p>
    <w:p w14:paraId="61E7851A">
      <w:pPr>
        <w:spacing w:line="560" w:lineRule="exact"/>
        <w:jc w:val="center"/>
        <w:rPr>
          <w:rFonts w:ascii="黑体" w:hAnsi="黑体" w:eastAsia="黑体"/>
          <w:sz w:val="32"/>
          <w:szCs w:val="32"/>
        </w:rPr>
      </w:pPr>
      <w:r>
        <w:rPr>
          <w:rFonts w:hint="eastAsia" w:ascii="黑体" w:hAnsi="黑体" w:eastAsia="黑体"/>
          <w:sz w:val="32"/>
          <w:szCs w:val="32"/>
        </w:rPr>
        <w:t>第二章  基本原则</w:t>
      </w:r>
    </w:p>
    <w:p w14:paraId="4EA43718">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公司在销售产品或提供服务的过程中，应全面深入了解</w:t>
      </w:r>
      <w:r>
        <w:rPr>
          <w:rFonts w:hint="eastAsia" w:ascii="仿宋" w:hAnsi="仿宋" w:eastAsia="仿宋" w:cs="仿宋"/>
          <w:sz w:val="32"/>
          <w:szCs w:val="32"/>
          <w:lang w:eastAsia="zh-CN"/>
        </w:rPr>
        <w:t>投资者</w:t>
      </w:r>
      <w:r>
        <w:rPr>
          <w:rFonts w:hint="eastAsia" w:ascii="仿宋" w:hAnsi="仿宋" w:eastAsia="仿宋" w:cs="仿宋"/>
          <w:sz w:val="32"/>
          <w:szCs w:val="32"/>
        </w:rPr>
        <w:t>、产品或服务，科学有效地评估，确定</w:t>
      </w:r>
      <w:r>
        <w:rPr>
          <w:rFonts w:hint="eastAsia" w:ascii="仿宋" w:hAnsi="仿宋" w:eastAsia="仿宋" w:cs="仿宋"/>
          <w:sz w:val="32"/>
          <w:szCs w:val="32"/>
          <w:lang w:eastAsia="zh-CN"/>
        </w:rPr>
        <w:t>投资者</w:t>
      </w:r>
      <w:r>
        <w:rPr>
          <w:rFonts w:hint="eastAsia" w:ascii="仿宋" w:hAnsi="仿宋" w:eastAsia="仿宋" w:cs="仿宋"/>
          <w:sz w:val="32"/>
          <w:szCs w:val="32"/>
        </w:rPr>
        <w:t>的分类以及产品或服务的风险等级。</w:t>
      </w:r>
    </w:p>
    <w:p w14:paraId="3FF33701">
      <w:pPr>
        <w:pStyle w:val="16"/>
        <w:spacing w:line="560" w:lineRule="exact"/>
        <w:ind w:firstLine="640"/>
        <w:rPr>
          <w:rFonts w:ascii="仿宋" w:hAnsi="仿宋" w:eastAsia="仿宋" w:cs="仿宋"/>
          <w:sz w:val="32"/>
          <w:szCs w:val="32"/>
        </w:rPr>
      </w:pPr>
      <w:r>
        <w:rPr>
          <w:rFonts w:hint="eastAsia" w:ascii="仿宋" w:hAnsi="仿宋" w:eastAsia="仿宋" w:cs="仿宋"/>
          <w:sz w:val="32"/>
          <w:szCs w:val="32"/>
        </w:rPr>
        <w:t>公司应采取有效措施对</w:t>
      </w:r>
      <w:r>
        <w:rPr>
          <w:rFonts w:hint="eastAsia" w:ascii="仿宋" w:hAnsi="仿宋" w:eastAsia="仿宋" w:cs="仿宋"/>
          <w:sz w:val="32"/>
          <w:szCs w:val="32"/>
          <w:lang w:eastAsia="zh-CN"/>
        </w:rPr>
        <w:t>投资者</w:t>
      </w:r>
      <w:r>
        <w:rPr>
          <w:rFonts w:hint="eastAsia" w:ascii="仿宋" w:hAnsi="仿宋" w:eastAsia="仿宋" w:cs="仿宋"/>
          <w:sz w:val="32"/>
          <w:szCs w:val="32"/>
        </w:rPr>
        <w:t>的基本信息、财务状况、投资相关的学习工作经历及投资经验、投资目标、风险偏好、可承受的损失、诚信记录等方面情况进行调查、核实和评估，全面深入了解</w:t>
      </w:r>
      <w:r>
        <w:rPr>
          <w:rFonts w:hint="eastAsia" w:ascii="仿宋" w:hAnsi="仿宋" w:eastAsia="仿宋" w:cs="仿宋"/>
          <w:sz w:val="32"/>
          <w:szCs w:val="32"/>
          <w:lang w:eastAsia="zh-CN"/>
        </w:rPr>
        <w:t>投资者</w:t>
      </w:r>
      <w:r>
        <w:rPr>
          <w:rFonts w:hint="eastAsia" w:ascii="仿宋" w:hAnsi="仿宋" w:eastAsia="仿宋" w:cs="仿宋"/>
          <w:sz w:val="32"/>
          <w:szCs w:val="32"/>
        </w:rPr>
        <w:t>，确定其风险承受能力。</w:t>
      </w:r>
    </w:p>
    <w:p w14:paraId="4020B9DB">
      <w:pPr>
        <w:pStyle w:val="16"/>
        <w:spacing w:line="560" w:lineRule="exact"/>
        <w:ind w:firstLine="640"/>
        <w:rPr>
          <w:rFonts w:ascii="仿宋" w:hAnsi="仿宋" w:eastAsia="仿宋" w:cs="仿宋"/>
          <w:sz w:val="32"/>
          <w:szCs w:val="32"/>
        </w:rPr>
      </w:pPr>
      <w:r>
        <w:rPr>
          <w:rFonts w:hint="eastAsia" w:ascii="仿宋" w:hAnsi="仿宋" w:eastAsia="仿宋" w:cs="仿宋"/>
          <w:sz w:val="32"/>
          <w:szCs w:val="32"/>
        </w:rPr>
        <w:t>公司通过对产品或服务的监管政策、业务规则、业务属性、业务特征等方面进行充分调研和解析，全面深入了解产品或服务，对其风险性进行科学有效评估，确定产品或服务的风险等级。</w:t>
      </w:r>
    </w:p>
    <w:p w14:paraId="0CB80C5F">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 w:hAnsi="仿宋" w:eastAsia="仿宋" w:cs="仿宋"/>
          <w:sz w:val="32"/>
          <w:szCs w:val="32"/>
        </w:rPr>
        <w:t xml:space="preserve"> 公司在全面了解</w:t>
      </w:r>
      <w:r>
        <w:rPr>
          <w:rFonts w:hint="eastAsia" w:ascii="仿宋" w:hAnsi="仿宋" w:eastAsia="仿宋" w:cs="仿宋"/>
          <w:sz w:val="32"/>
          <w:szCs w:val="32"/>
          <w:lang w:eastAsia="zh-CN"/>
        </w:rPr>
        <w:t>投资者</w:t>
      </w:r>
      <w:r>
        <w:rPr>
          <w:rFonts w:hint="eastAsia" w:ascii="仿宋" w:hAnsi="仿宋" w:eastAsia="仿宋" w:cs="仿宋"/>
          <w:sz w:val="32"/>
          <w:szCs w:val="32"/>
        </w:rPr>
        <w:t>的基础上，以</w:t>
      </w:r>
      <w:r>
        <w:rPr>
          <w:rFonts w:hint="eastAsia" w:ascii="仿宋" w:hAnsi="仿宋" w:eastAsia="仿宋" w:cs="仿宋"/>
          <w:sz w:val="32"/>
          <w:szCs w:val="32"/>
          <w:lang w:eastAsia="zh-CN"/>
        </w:rPr>
        <w:t>投资者</w:t>
      </w:r>
      <w:r>
        <w:rPr>
          <w:rFonts w:hint="eastAsia" w:ascii="仿宋" w:hAnsi="仿宋" w:eastAsia="仿宋" w:cs="仿宋"/>
          <w:sz w:val="32"/>
          <w:szCs w:val="32"/>
        </w:rPr>
        <w:t>的专业性、资产状况、投资经验、风险偏好、风险承受能力等因素为基础，对所有</w:t>
      </w:r>
      <w:r>
        <w:rPr>
          <w:rFonts w:hint="eastAsia" w:ascii="仿宋" w:hAnsi="仿宋" w:eastAsia="仿宋" w:cs="仿宋"/>
          <w:sz w:val="32"/>
          <w:szCs w:val="32"/>
          <w:lang w:eastAsia="zh-CN"/>
        </w:rPr>
        <w:t>投资者</w:t>
      </w:r>
      <w:r>
        <w:rPr>
          <w:rFonts w:hint="eastAsia" w:ascii="仿宋" w:hAnsi="仿宋" w:eastAsia="仿宋" w:cs="仿宋"/>
          <w:sz w:val="32"/>
          <w:szCs w:val="32"/>
        </w:rPr>
        <w:t>进行分类管理。</w:t>
      </w:r>
    </w:p>
    <w:p w14:paraId="21B2A49C">
      <w:pPr>
        <w:pStyle w:val="16"/>
        <w:spacing w:line="560" w:lineRule="exact"/>
        <w:ind w:firstLine="640"/>
        <w:rPr>
          <w:rFonts w:ascii="仿宋" w:hAnsi="仿宋" w:eastAsia="仿宋" w:cs="仿宋"/>
          <w:sz w:val="32"/>
          <w:szCs w:val="32"/>
        </w:rPr>
      </w:pPr>
      <w:r>
        <w:rPr>
          <w:rFonts w:hint="eastAsia" w:ascii="仿宋" w:hAnsi="仿宋" w:eastAsia="仿宋" w:cs="仿宋"/>
          <w:sz w:val="32"/>
          <w:szCs w:val="32"/>
        </w:rPr>
        <w:t>公司在深入了解产品或服务信息的基础上，通过调查分析、科学评估，并根据其风险特征、程度等要素，对所有产品或服务进行分级管理。</w:t>
      </w:r>
    </w:p>
    <w:p w14:paraId="60E8533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 w:hAnsi="仿宋" w:eastAsia="仿宋" w:cs="仿宋"/>
          <w:sz w:val="32"/>
          <w:szCs w:val="32"/>
        </w:rPr>
        <w:t>公司基于投资者的风险承受能力、投资目标以及产品或服务的风险等级等因素，提出明确的适当性匹配意见，将适当的产品或服务销售或提供给适合的</w:t>
      </w:r>
      <w:r>
        <w:rPr>
          <w:rFonts w:hint="default" w:ascii="仿宋" w:hAnsi="仿宋" w:eastAsia="仿宋" w:cs="仿宋"/>
          <w:sz w:val="32"/>
          <w:szCs w:val="32"/>
          <w:lang w:val="en-US"/>
        </w:rPr>
        <w:t>投资者</w:t>
      </w:r>
      <w:r>
        <w:rPr>
          <w:rFonts w:hint="eastAsia" w:ascii="仿宋" w:hAnsi="仿宋" w:eastAsia="仿宋" w:cs="仿宋"/>
          <w:sz w:val="32"/>
          <w:szCs w:val="32"/>
        </w:rPr>
        <w:t>。</w:t>
      </w:r>
    </w:p>
    <w:p w14:paraId="47F0D28A">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投资者</w:t>
      </w:r>
      <w:r>
        <w:rPr>
          <w:rFonts w:hint="eastAsia" w:ascii="仿宋" w:hAnsi="仿宋" w:eastAsia="仿宋" w:cs="仿宋"/>
          <w:sz w:val="32"/>
          <w:szCs w:val="32"/>
        </w:rPr>
        <w:t>在购买产品或接受服务时，公司应使用通俗易懂的语言向</w:t>
      </w:r>
      <w:r>
        <w:rPr>
          <w:rFonts w:hint="eastAsia" w:ascii="仿宋" w:hAnsi="仿宋" w:eastAsia="仿宋" w:cs="仿宋"/>
          <w:sz w:val="32"/>
          <w:szCs w:val="32"/>
          <w:lang w:eastAsia="zh-CN"/>
        </w:rPr>
        <w:t>投资者</w:t>
      </w:r>
      <w:r>
        <w:rPr>
          <w:rFonts w:hint="eastAsia" w:ascii="仿宋" w:hAnsi="仿宋" w:eastAsia="仿宋" w:cs="仿宋"/>
          <w:sz w:val="32"/>
          <w:szCs w:val="32"/>
        </w:rPr>
        <w:t>充分揭示产品或服务中的风险，协助其树立正确的投资理念；公司须建立风险揭示流程，在产品或服务推介、协议签署、</w:t>
      </w:r>
      <w:r>
        <w:rPr>
          <w:rFonts w:hint="eastAsia" w:ascii="仿宋" w:hAnsi="仿宋" w:eastAsia="仿宋" w:cs="仿宋"/>
          <w:sz w:val="32"/>
          <w:szCs w:val="32"/>
          <w:lang w:eastAsia="zh-CN"/>
        </w:rPr>
        <w:t>投资者</w:t>
      </w:r>
      <w:r>
        <w:rPr>
          <w:rFonts w:hint="eastAsia" w:ascii="仿宋" w:hAnsi="仿宋" w:eastAsia="仿宋" w:cs="仿宋"/>
          <w:sz w:val="32"/>
          <w:szCs w:val="32"/>
        </w:rPr>
        <w:t>回访及信息披露等环节，向</w:t>
      </w:r>
      <w:r>
        <w:rPr>
          <w:rFonts w:hint="eastAsia" w:ascii="仿宋" w:hAnsi="仿宋" w:eastAsia="仿宋" w:cs="仿宋"/>
          <w:sz w:val="32"/>
          <w:szCs w:val="32"/>
          <w:lang w:eastAsia="zh-CN"/>
        </w:rPr>
        <w:t>投资者</w:t>
      </w:r>
      <w:r>
        <w:rPr>
          <w:rFonts w:hint="eastAsia" w:ascii="仿宋" w:hAnsi="仿宋" w:eastAsia="仿宋" w:cs="仿宋"/>
          <w:sz w:val="32"/>
          <w:szCs w:val="32"/>
        </w:rPr>
        <w:t>解释协议重要条款、业务规则，揭示产品或服务的一般风险与特殊风险，告知适当性匹配意见，并做好各个环节的留痕工作。</w:t>
      </w:r>
    </w:p>
    <w:p w14:paraId="1CCFE027">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w:t>
      </w:r>
      <w:r>
        <w:rPr>
          <w:rFonts w:hint="eastAsia" w:ascii="仿宋" w:hAnsi="仿宋" w:eastAsia="仿宋" w:cs="仿宋"/>
          <w:sz w:val="32"/>
          <w:szCs w:val="32"/>
          <w:lang w:eastAsia="zh-CN"/>
        </w:rPr>
        <w:t>投资者</w:t>
      </w:r>
      <w:r>
        <w:rPr>
          <w:rFonts w:hint="eastAsia" w:ascii="仿宋" w:hAnsi="仿宋" w:eastAsia="仿宋" w:cs="仿宋"/>
          <w:sz w:val="32"/>
          <w:szCs w:val="32"/>
        </w:rPr>
        <w:t>管理部门对各</w:t>
      </w:r>
      <w:r>
        <w:rPr>
          <w:rFonts w:hint="default" w:ascii="仿宋" w:hAnsi="仿宋" w:eastAsia="仿宋" w:cs="仿宋"/>
          <w:sz w:val="32"/>
          <w:szCs w:val="32"/>
          <w:lang w:val="en-US"/>
        </w:rPr>
        <w:t>责任</w:t>
      </w:r>
      <w:r>
        <w:rPr>
          <w:rFonts w:hint="eastAsia" w:ascii="仿宋" w:hAnsi="仿宋" w:eastAsia="仿宋" w:cs="仿宋"/>
          <w:sz w:val="32"/>
          <w:szCs w:val="32"/>
        </w:rPr>
        <w:t>业务条线</w:t>
      </w:r>
      <w:r>
        <w:rPr>
          <w:rFonts w:hint="eastAsia" w:ascii="仿宋" w:hAnsi="仿宋" w:eastAsia="仿宋" w:cs="仿宋"/>
          <w:sz w:val="32"/>
          <w:szCs w:val="32"/>
          <w:lang w:eastAsia="zh-CN"/>
        </w:rPr>
        <w:t>投资者</w:t>
      </w:r>
      <w:r>
        <w:rPr>
          <w:rFonts w:hint="eastAsia" w:ascii="仿宋" w:hAnsi="仿宋" w:eastAsia="仿宋" w:cs="仿宋"/>
          <w:sz w:val="32"/>
          <w:szCs w:val="32"/>
        </w:rPr>
        <w:t>的准入管理、持续管理、分类分级、适当性匹配等事项进行集中统一管理。</w:t>
      </w:r>
    </w:p>
    <w:p w14:paraId="1498269C">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公司销售金融产品或提供金融服务，应当诚实信用，勤勉尽责，审慎履职，妥善处理利益冲突，避免损害</w:t>
      </w:r>
      <w:r>
        <w:rPr>
          <w:rFonts w:hint="eastAsia" w:ascii="仿宋" w:hAnsi="仿宋" w:eastAsia="仿宋" w:cs="仿宋"/>
          <w:sz w:val="32"/>
          <w:szCs w:val="32"/>
          <w:lang w:eastAsia="zh-CN"/>
        </w:rPr>
        <w:t>投资者</w:t>
      </w:r>
      <w:r>
        <w:rPr>
          <w:rFonts w:hint="eastAsia" w:ascii="仿宋" w:hAnsi="仿宋" w:eastAsia="仿宋" w:cs="仿宋"/>
          <w:sz w:val="32"/>
          <w:szCs w:val="32"/>
        </w:rPr>
        <w:t>合法权益。</w:t>
      </w:r>
    </w:p>
    <w:p w14:paraId="01649718">
      <w:pPr>
        <w:pStyle w:val="16"/>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 xml:space="preserve">  公司应当采取有效措施，建立统一的</w:t>
      </w:r>
      <w:r>
        <w:rPr>
          <w:rFonts w:hint="eastAsia" w:ascii="仿宋" w:hAnsi="仿宋" w:eastAsia="仿宋" w:cs="仿宋"/>
          <w:sz w:val="32"/>
          <w:szCs w:val="32"/>
          <w:lang w:eastAsia="zh-CN"/>
        </w:rPr>
        <w:t>投资者</w:t>
      </w:r>
      <w:r>
        <w:rPr>
          <w:rFonts w:hint="eastAsia" w:ascii="仿宋" w:hAnsi="仿宋" w:eastAsia="仿宋" w:cs="仿宋"/>
          <w:sz w:val="32"/>
          <w:szCs w:val="32"/>
        </w:rPr>
        <w:t>适当性管理系统，实现</w:t>
      </w:r>
      <w:r>
        <w:rPr>
          <w:rFonts w:hint="eastAsia" w:ascii="仿宋" w:hAnsi="仿宋" w:eastAsia="仿宋" w:cs="仿宋"/>
          <w:sz w:val="32"/>
          <w:szCs w:val="32"/>
          <w:lang w:eastAsia="zh-CN"/>
        </w:rPr>
        <w:t>投资者</w:t>
      </w:r>
      <w:r>
        <w:rPr>
          <w:rFonts w:hint="eastAsia" w:ascii="仿宋" w:hAnsi="仿宋" w:eastAsia="仿宋" w:cs="仿宋"/>
          <w:sz w:val="32"/>
          <w:szCs w:val="32"/>
        </w:rPr>
        <w:t>适当性管理工作全过程的电子信息化。</w:t>
      </w:r>
    </w:p>
    <w:p w14:paraId="162A4F53">
      <w:pPr>
        <w:spacing w:line="560" w:lineRule="exact"/>
        <w:jc w:val="center"/>
        <w:rPr>
          <w:rFonts w:ascii="黑体" w:hAnsi="黑体" w:eastAsia="黑体"/>
          <w:sz w:val="32"/>
          <w:szCs w:val="32"/>
        </w:rPr>
      </w:pPr>
      <w:r>
        <w:rPr>
          <w:rFonts w:hint="eastAsia" w:ascii="黑体" w:hAnsi="黑体" w:eastAsia="黑体"/>
          <w:sz w:val="32"/>
          <w:szCs w:val="32"/>
        </w:rPr>
        <w:t>第三章  组织架构及职责分工</w:t>
      </w:r>
    </w:p>
    <w:p w14:paraId="21880600">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公司设立投资者适当性管理委员会（以下简称适当性管理委员会）</w:t>
      </w:r>
      <w:r>
        <w:rPr>
          <w:rFonts w:hint="eastAsia" w:ascii="仿宋_GB2312" w:hAnsi="仿宋" w:eastAsia="仿宋_GB2312"/>
          <w:sz w:val="32"/>
          <w:szCs w:val="32"/>
          <w:lang w:val="en-US" w:eastAsia="zh-CN"/>
        </w:rPr>
        <w:t>作为</w:t>
      </w:r>
      <w:r>
        <w:rPr>
          <w:rFonts w:hint="eastAsia" w:ascii="仿宋_GB2312" w:hAnsi="仿宋" w:eastAsia="仿宋_GB2312"/>
          <w:sz w:val="32"/>
          <w:szCs w:val="32"/>
        </w:rPr>
        <w:t>投资者适当性管理工作最高决策机构，</w:t>
      </w:r>
      <w:r>
        <w:rPr>
          <w:rFonts w:hint="eastAsia" w:ascii="仿宋_GB2312" w:hAnsi="仿宋" w:eastAsia="仿宋_GB2312"/>
          <w:sz w:val="32"/>
          <w:szCs w:val="32"/>
          <w:lang w:val="en-US" w:eastAsia="zh-CN"/>
        </w:rPr>
        <w:t>负责对投资者适当性管理工作、制度制定等重要事项进行协调、审议和决策，</w:t>
      </w:r>
      <w:r>
        <w:rPr>
          <w:rFonts w:hint="eastAsia" w:ascii="仿宋_GB2312" w:hAnsi="仿宋" w:eastAsia="仿宋_GB2312"/>
          <w:sz w:val="32"/>
          <w:szCs w:val="32"/>
        </w:rPr>
        <w:t>是客户</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适当性管理工作的最终责任承担主体。</w:t>
      </w:r>
    </w:p>
    <w:p w14:paraId="7BBFBC3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适当性管理委员会由公司总经理任</w:t>
      </w:r>
      <w:r>
        <w:rPr>
          <w:rFonts w:hint="eastAsia" w:ascii="仿宋_GB2312" w:hAnsi="仿宋" w:eastAsia="仿宋_GB2312"/>
          <w:sz w:val="32"/>
          <w:szCs w:val="32"/>
          <w:lang w:val="en-US" w:eastAsia="zh-CN"/>
        </w:rPr>
        <w:t>组长</w:t>
      </w:r>
      <w:r>
        <w:rPr>
          <w:rFonts w:hint="eastAsia" w:ascii="仿宋_GB2312" w:hAnsi="仿宋" w:eastAsia="仿宋_GB2312"/>
          <w:sz w:val="32"/>
          <w:szCs w:val="32"/>
        </w:rPr>
        <w:t>、业务副总经理和首席风险官任副</w:t>
      </w:r>
      <w:r>
        <w:rPr>
          <w:rFonts w:hint="eastAsia" w:ascii="仿宋_GB2312" w:hAnsi="仿宋" w:eastAsia="仿宋_GB2312"/>
          <w:sz w:val="32"/>
          <w:szCs w:val="32"/>
          <w:lang w:val="en-US" w:eastAsia="zh-CN"/>
        </w:rPr>
        <w:t>组长</w:t>
      </w:r>
      <w:r>
        <w:rPr>
          <w:rFonts w:hint="eastAsia" w:ascii="仿宋_GB2312" w:hAnsi="仿宋" w:eastAsia="仿宋_GB2312"/>
          <w:sz w:val="32"/>
          <w:szCs w:val="32"/>
        </w:rPr>
        <w:t>，</w:t>
      </w:r>
      <w:r>
        <w:rPr>
          <w:rFonts w:hint="eastAsia" w:ascii="仿宋_GB2312" w:hAnsi="仿宋" w:eastAsia="仿宋_GB2312"/>
          <w:sz w:val="32"/>
          <w:szCs w:val="32"/>
          <w:lang w:val="en-US" w:eastAsia="zh-CN"/>
        </w:rPr>
        <w:t>相关</w:t>
      </w:r>
      <w:r>
        <w:rPr>
          <w:rFonts w:hint="eastAsia" w:ascii="仿宋_GB2312" w:hAnsi="仿宋" w:eastAsia="仿宋_GB2312"/>
          <w:sz w:val="32"/>
          <w:szCs w:val="32"/>
        </w:rPr>
        <w:t>部门负责人任</w:t>
      </w:r>
      <w:r>
        <w:rPr>
          <w:rFonts w:hint="eastAsia" w:ascii="仿宋_GB2312" w:hAnsi="仿宋" w:eastAsia="仿宋_GB2312"/>
          <w:sz w:val="32"/>
          <w:szCs w:val="32"/>
          <w:lang w:val="en-US" w:eastAsia="zh-CN"/>
        </w:rPr>
        <w:t>成员</w:t>
      </w:r>
      <w:r>
        <w:rPr>
          <w:rFonts w:hint="eastAsia" w:ascii="仿宋_GB2312" w:hAnsi="仿宋" w:eastAsia="仿宋_GB2312"/>
          <w:sz w:val="32"/>
          <w:szCs w:val="32"/>
        </w:rPr>
        <w:t>，</w:t>
      </w:r>
      <w:bookmarkStart w:id="4" w:name="OLE_LINK6"/>
      <w:r>
        <w:rPr>
          <w:rFonts w:hint="eastAsia" w:ascii="仿宋_GB2312" w:hAnsi="仿宋" w:eastAsia="仿宋_GB2312"/>
          <w:sz w:val="32"/>
          <w:szCs w:val="32"/>
        </w:rPr>
        <w:t>相关部门包括：</w:t>
      </w:r>
      <w:bookmarkEnd w:id="4"/>
      <w:r>
        <w:rPr>
          <w:rFonts w:hint="eastAsia" w:ascii="仿宋_GB2312" w:hAnsi="仿宋" w:eastAsia="仿宋_GB2312"/>
          <w:sz w:val="32"/>
          <w:szCs w:val="32"/>
        </w:rPr>
        <w:t>业务管理部、</w:t>
      </w:r>
      <w:r>
        <w:rPr>
          <w:rFonts w:hint="eastAsia" w:ascii="仿宋_GB2312" w:hAnsi="仿宋" w:eastAsia="仿宋_GB2312"/>
          <w:sz w:val="32"/>
          <w:szCs w:val="32"/>
          <w:lang w:val="en-US" w:eastAsia="zh-CN"/>
        </w:rPr>
        <w:t>机构部</w:t>
      </w:r>
      <w:r>
        <w:rPr>
          <w:rFonts w:hint="eastAsia" w:ascii="仿宋_GB2312" w:hAnsi="仿宋" w:eastAsia="仿宋_GB2312"/>
          <w:sz w:val="32"/>
          <w:szCs w:val="32"/>
        </w:rPr>
        <w:t>、研究发展部、网点管理部、信息技术部、客户服务部、资产管理部、风控合规部</w:t>
      </w:r>
      <w:r>
        <w:rPr>
          <w:rFonts w:hint="eastAsia" w:ascii="仿宋_GB2312" w:hAnsi="仿宋" w:eastAsia="仿宋_GB2312"/>
          <w:sz w:val="32"/>
          <w:szCs w:val="32"/>
          <w:lang w:val="en-US" w:eastAsia="zh-CN"/>
        </w:rPr>
        <w:t>等</w:t>
      </w:r>
      <w:r>
        <w:rPr>
          <w:rFonts w:hint="eastAsia" w:ascii="仿宋_GB2312" w:hAnsi="仿宋" w:eastAsia="仿宋_GB2312"/>
          <w:sz w:val="32"/>
          <w:szCs w:val="32"/>
        </w:rPr>
        <w:t>。风控合规部是适当性</w:t>
      </w:r>
      <w:r>
        <w:rPr>
          <w:rFonts w:hint="eastAsia" w:ascii="仿宋_GB2312" w:hAnsi="仿宋" w:eastAsia="仿宋_GB2312"/>
          <w:sz w:val="32"/>
          <w:szCs w:val="32"/>
          <w:lang w:val="en-US" w:eastAsia="zh-CN"/>
        </w:rPr>
        <w:t>管理</w:t>
      </w:r>
      <w:r>
        <w:rPr>
          <w:rFonts w:hint="eastAsia" w:ascii="仿宋_GB2312" w:hAnsi="仿宋" w:eastAsia="仿宋_GB2312"/>
          <w:sz w:val="32"/>
          <w:szCs w:val="32"/>
        </w:rPr>
        <w:t>委员会的秘书机构。</w:t>
      </w:r>
    </w:p>
    <w:p w14:paraId="7AF132F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适当性管理委员会的职责：</w:t>
      </w:r>
    </w:p>
    <w:p w14:paraId="5D34779B">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统一领导、规划、部署公司投资者适当性管理工作；</w:t>
      </w:r>
    </w:p>
    <w:p w14:paraId="7AE4464A">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审议公司制定</w:t>
      </w:r>
      <w:r>
        <w:rPr>
          <w:rFonts w:hint="eastAsia" w:ascii="仿宋_GB2312" w:hAnsi="仿宋" w:eastAsia="仿宋_GB2312"/>
          <w:sz w:val="32"/>
          <w:szCs w:val="32"/>
          <w:lang w:val="en-US" w:eastAsia="zh-CN"/>
        </w:rPr>
        <w:t>或</w:t>
      </w:r>
      <w:r>
        <w:rPr>
          <w:rFonts w:hint="eastAsia" w:ascii="仿宋_GB2312" w:hAnsi="仿宋" w:eastAsia="仿宋_GB2312"/>
          <w:sz w:val="32"/>
          <w:szCs w:val="32"/>
        </w:rPr>
        <w:t>修订</w:t>
      </w:r>
      <w:r>
        <w:rPr>
          <w:rFonts w:hint="eastAsia" w:ascii="仿宋_GB2312" w:hAnsi="仿宋" w:eastAsia="仿宋_GB2312"/>
          <w:sz w:val="32"/>
          <w:szCs w:val="32"/>
          <w:lang w:val="en-US" w:eastAsia="zh-CN"/>
        </w:rPr>
        <w:t>的</w:t>
      </w:r>
      <w:r>
        <w:rPr>
          <w:rFonts w:hint="eastAsia" w:ascii="仿宋_GB2312" w:hAnsi="仿宋" w:eastAsia="仿宋_GB2312"/>
          <w:sz w:val="32"/>
          <w:szCs w:val="32"/>
        </w:rPr>
        <w:t>公司投资者适当性管理基本制度；</w:t>
      </w:r>
    </w:p>
    <w:p w14:paraId="7C310625">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统筹协调公司总部各部门间、公司总部与分支机构间投资者适当性工作的相互衔接和配合；</w:t>
      </w:r>
    </w:p>
    <w:p w14:paraId="6C90E891">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审议批准公司</w:t>
      </w:r>
      <w:r>
        <w:rPr>
          <w:rFonts w:hint="eastAsia" w:ascii="仿宋_GB2312" w:hAnsi="仿宋" w:eastAsia="仿宋_GB2312"/>
          <w:sz w:val="32"/>
          <w:szCs w:val="32"/>
          <w:lang w:val="en-US" w:eastAsia="zh-CN"/>
        </w:rPr>
        <w:t>风险承受能力、</w:t>
      </w:r>
      <w:r>
        <w:rPr>
          <w:rFonts w:hint="eastAsia" w:ascii="仿宋_GB2312" w:hAnsi="仿宋" w:eastAsia="仿宋_GB2312"/>
          <w:sz w:val="32"/>
          <w:szCs w:val="32"/>
        </w:rPr>
        <w:t>产品</w:t>
      </w:r>
      <w:r>
        <w:rPr>
          <w:rFonts w:hint="eastAsia" w:ascii="仿宋_GB2312" w:hAnsi="仿宋" w:eastAsia="仿宋_GB2312"/>
          <w:sz w:val="32"/>
          <w:szCs w:val="32"/>
          <w:lang w:val="en-US" w:eastAsia="zh-CN"/>
        </w:rPr>
        <w:t>或服务风险等级</w:t>
      </w:r>
      <w:r>
        <w:rPr>
          <w:rFonts w:hint="eastAsia" w:ascii="仿宋_GB2312" w:hAnsi="仿宋" w:eastAsia="仿宋_GB2312"/>
          <w:sz w:val="32"/>
          <w:szCs w:val="32"/>
        </w:rPr>
        <w:t>及适当性匹配</w:t>
      </w:r>
      <w:bookmarkStart w:id="5" w:name="OLE_LINK8"/>
      <w:r>
        <w:rPr>
          <w:rFonts w:hint="eastAsia" w:ascii="仿宋_GB2312" w:hAnsi="仿宋" w:eastAsia="仿宋_GB2312"/>
          <w:sz w:val="32"/>
          <w:szCs w:val="32"/>
        </w:rPr>
        <w:t>等相关标准</w:t>
      </w:r>
      <w:bookmarkEnd w:id="5"/>
      <w:r>
        <w:rPr>
          <w:rFonts w:hint="eastAsia" w:ascii="仿宋_GB2312" w:hAnsi="仿宋" w:eastAsia="仿宋_GB2312"/>
          <w:sz w:val="32"/>
          <w:szCs w:val="32"/>
        </w:rPr>
        <w:t>；</w:t>
      </w:r>
    </w:p>
    <w:p w14:paraId="2E3B1E9D">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对公司投资者适当性管理的其他重大事项进行规划、协调、决策及审批；</w:t>
      </w:r>
    </w:p>
    <w:p w14:paraId="22798CC2">
      <w:pPr>
        <w:pStyle w:val="16"/>
        <w:numPr>
          <w:ilvl w:val="0"/>
          <w:numId w:val="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法律法规及公司制度规定的其他职责。</w:t>
      </w:r>
    </w:p>
    <w:p w14:paraId="71A083A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管理部门具体职责如下：</w:t>
      </w:r>
    </w:p>
    <w:p w14:paraId="3D855B9C">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制定</w:t>
      </w:r>
      <w:r>
        <w:rPr>
          <w:rFonts w:hint="eastAsia" w:ascii="仿宋_GB2312" w:hAnsi="仿宋" w:eastAsia="仿宋_GB2312"/>
          <w:sz w:val="32"/>
          <w:szCs w:val="32"/>
          <w:lang w:val="en-US" w:eastAsia="zh-CN"/>
        </w:rPr>
        <w:t>本业务线</w:t>
      </w:r>
      <w:r>
        <w:rPr>
          <w:rFonts w:hint="eastAsia" w:ascii="仿宋_GB2312" w:hAnsi="仿宋" w:eastAsia="仿宋_GB2312"/>
          <w:sz w:val="32"/>
          <w:szCs w:val="32"/>
        </w:rPr>
        <w:t>内部适当性管理制度、实施细则</w:t>
      </w:r>
      <w:r>
        <w:rPr>
          <w:rFonts w:hint="eastAsia" w:ascii="仿宋_GB2312" w:hAnsi="仿宋" w:eastAsia="仿宋_GB2312"/>
          <w:sz w:val="32"/>
          <w:szCs w:val="32"/>
          <w:lang w:val="en-US" w:eastAsia="zh-CN"/>
        </w:rPr>
        <w:t>或</w:t>
      </w:r>
      <w:r>
        <w:rPr>
          <w:rFonts w:hint="eastAsia" w:ascii="仿宋_GB2312" w:hAnsi="仿宋" w:eastAsia="仿宋_GB2312"/>
          <w:sz w:val="32"/>
          <w:szCs w:val="32"/>
        </w:rPr>
        <w:t>操作规程，根据适当性法规、监管要求及业务发展的变化，制定或修订所涉及的相关制度和业务规程；</w:t>
      </w:r>
    </w:p>
    <w:p w14:paraId="473BA04F">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制定了解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w:t>
      </w:r>
      <w:r>
        <w:rPr>
          <w:rFonts w:hint="eastAsia" w:ascii="仿宋_GB2312" w:hAnsi="仿宋" w:eastAsia="仿宋_GB2312"/>
          <w:sz w:val="32"/>
          <w:szCs w:val="32"/>
          <w:lang w:eastAsia="zh-CN"/>
        </w:rPr>
        <w:t>投资者</w:t>
      </w:r>
      <w:r>
        <w:rPr>
          <w:rFonts w:hint="eastAsia" w:ascii="仿宋_GB2312" w:hAnsi="仿宋" w:eastAsia="仿宋_GB2312"/>
          <w:sz w:val="32"/>
          <w:szCs w:val="32"/>
        </w:rPr>
        <w:t>分类、适当性匹配、风险揭示的统一标准和流程；</w:t>
      </w:r>
    </w:p>
    <w:p w14:paraId="1252D195">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制定</w:t>
      </w:r>
      <w:r>
        <w:rPr>
          <w:rFonts w:hint="eastAsia" w:ascii="仿宋_GB2312" w:hAnsi="仿宋" w:eastAsia="仿宋_GB2312"/>
          <w:sz w:val="32"/>
          <w:szCs w:val="32"/>
          <w:lang w:val="en-US" w:eastAsia="zh-CN"/>
        </w:rPr>
        <w:t>本业务线</w:t>
      </w:r>
      <w:r>
        <w:rPr>
          <w:rFonts w:hint="eastAsia" w:ascii="仿宋_GB2312" w:hAnsi="仿宋" w:eastAsia="仿宋_GB2312"/>
          <w:sz w:val="32"/>
          <w:szCs w:val="32"/>
        </w:rPr>
        <w:t>适当性考核指标、员工执业行为管理、培训检查、投诉处理、</w:t>
      </w:r>
      <w:r>
        <w:rPr>
          <w:rFonts w:hint="eastAsia" w:ascii="仿宋_GB2312" w:hAnsi="仿宋" w:eastAsia="仿宋_GB2312"/>
          <w:sz w:val="32"/>
          <w:szCs w:val="32"/>
          <w:lang w:eastAsia="zh-CN"/>
        </w:rPr>
        <w:t>投资者</w:t>
      </w:r>
      <w:r>
        <w:rPr>
          <w:rFonts w:hint="eastAsia" w:ascii="仿宋_GB2312" w:hAnsi="仿宋" w:eastAsia="仿宋_GB2312"/>
          <w:sz w:val="32"/>
          <w:szCs w:val="32"/>
        </w:rPr>
        <w:t>回访等保障性措施</w:t>
      </w:r>
      <w:r>
        <w:rPr>
          <w:rFonts w:hint="eastAsia" w:ascii="仿宋_GB2312" w:hAnsi="仿宋" w:eastAsia="仿宋_GB2312"/>
          <w:sz w:val="32"/>
          <w:szCs w:val="32"/>
          <w:lang w:val="en-US" w:eastAsia="zh-CN"/>
        </w:rPr>
        <w:t>和流程</w:t>
      </w:r>
      <w:r>
        <w:rPr>
          <w:rFonts w:hint="eastAsia" w:ascii="仿宋_GB2312" w:hAnsi="仿宋" w:eastAsia="仿宋_GB2312"/>
          <w:sz w:val="32"/>
          <w:szCs w:val="32"/>
        </w:rPr>
        <w:t>；</w:t>
      </w:r>
    </w:p>
    <w:p w14:paraId="5E052679">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建设和运营</w:t>
      </w:r>
      <w:r>
        <w:rPr>
          <w:rFonts w:hint="eastAsia" w:ascii="仿宋_GB2312" w:hAnsi="仿宋" w:eastAsia="仿宋_GB2312"/>
          <w:sz w:val="32"/>
          <w:szCs w:val="32"/>
          <w:lang w:val="en-US" w:eastAsia="zh-CN"/>
        </w:rPr>
        <w:t>各业务条线</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适当性管理信息系统，负责系统的持续运营和改进工作，梳理与</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管理相关的业务流程，提高运营和管理效率，并负责</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适当性管理信息系统改造需求的提出；</w:t>
      </w:r>
    </w:p>
    <w:p w14:paraId="4D468A8D">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负责</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适当性管理的资料保存；</w:t>
      </w:r>
    </w:p>
    <w:p w14:paraId="66B8E96A">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负责</w:t>
      </w:r>
      <w:r>
        <w:rPr>
          <w:rFonts w:hint="eastAsia" w:ascii="仿宋_GB2312" w:hAnsi="仿宋" w:eastAsia="仿宋_GB2312"/>
          <w:sz w:val="32"/>
          <w:szCs w:val="32"/>
          <w:lang w:eastAsia="zh-CN"/>
        </w:rPr>
        <w:t>投资者</w:t>
      </w:r>
      <w:r>
        <w:rPr>
          <w:rFonts w:hint="eastAsia" w:ascii="仿宋_GB2312" w:hAnsi="仿宋" w:eastAsia="仿宋_GB2312"/>
          <w:sz w:val="32"/>
          <w:szCs w:val="32"/>
        </w:rPr>
        <w:t>分类、适当性匹配的审核；</w:t>
      </w:r>
    </w:p>
    <w:p w14:paraId="51D0795B">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负责落实</w:t>
      </w:r>
      <w:r>
        <w:rPr>
          <w:rFonts w:hint="eastAsia" w:ascii="仿宋_GB2312" w:hAnsi="仿宋" w:eastAsia="仿宋_GB2312"/>
          <w:sz w:val="32"/>
          <w:szCs w:val="32"/>
          <w:lang w:val="en-US" w:eastAsia="zh-CN"/>
        </w:rPr>
        <w:t>涉及本业务线的各项</w:t>
      </w:r>
      <w:r>
        <w:rPr>
          <w:rFonts w:hint="eastAsia" w:ascii="仿宋_GB2312" w:hAnsi="仿宋" w:eastAsia="仿宋_GB2312"/>
          <w:sz w:val="32"/>
          <w:szCs w:val="32"/>
        </w:rPr>
        <w:t>适当性管理制度并有效执行；</w:t>
      </w:r>
    </w:p>
    <w:p w14:paraId="36548493">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处理</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适当性管理过程中的投诉事务，协助风控合规部处理相关仲裁、诉讼事务；</w:t>
      </w:r>
    </w:p>
    <w:p w14:paraId="524F6E3B">
      <w:pPr>
        <w:pStyle w:val="16"/>
        <w:numPr>
          <w:ilvl w:val="0"/>
          <w:numId w:val="3"/>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适当性管理委员会安排的其他事项。</w:t>
      </w:r>
    </w:p>
    <w:p w14:paraId="00CCB56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业务管理部为公司经纪业务线</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管理部门，资产管理部、</w:t>
      </w:r>
      <w:r>
        <w:rPr>
          <w:rFonts w:hint="eastAsia" w:ascii="仿宋_GB2312" w:hAnsi="仿宋" w:eastAsia="仿宋_GB2312"/>
          <w:sz w:val="32"/>
          <w:szCs w:val="32"/>
          <w:lang w:val="en-US" w:eastAsia="zh-CN"/>
        </w:rPr>
        <w:t>机构部</w:t>
      </w:r>
      <w:r>
        <w:rPr>
          <w:rFonts w:hint="eastAsia" w:ascii="仿宋_GB2312" w:hAnsi="仿宋" w:eastAsia="仿宋_GB2312"/>
          <w:sz w:val="32"/>
          <w:szCs w:val="32"/>
        </w:rPr>
        <w:t>和研究发展部等为各业务条线的</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管理部门，均应依据前款规定制定本</w:t>
      </w:r>
      <w:r>
        <w:rPr>
          <w:rFonts w:hint="eastAsia" w:ascii="仿宋_GB2312" w:hAnsi="仿宋" w:eastAsia="仿宋_GB2312"/>
          <w:sz w:val="32"/>
          <w:szCs w:val="32"/>
          <w:lang w:val="en-US" w:eastAsia="zh-CN"/>
        </w:rPr>
        <w:t>业务线</w:t>
      </w:r>
      <w:r>
        <w:rPr>
          <w:rFonts w:hint="eastAsia" w:ascii="仿宋_GB2312" w:hAnsi="仿宋" w:eastAsia="仿宋_GB2312"/>
          <w:sz w:val="32"/>
          <w:szCs w:val="32"/>
        </w:rPr>
        <w:t>的投资者适当性管理规范和流程。</w:t>
      </w:r>
    </w:p>
    <w:p w14:paraId="7DB74AB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资产管理部、</w:t>
      </w:r>
      <w:r>
        <w:rPr>
          <w:rFonts w:hint="eastAsia" w:ascii="仿宋_GB2312" w:hAnsi="仿宋" w:eastAsia="仿宋_GB2312"/>
          <w:sz w:val="32"/>
          <w:szCs w:val="32"/>
          <w:lang w:val="en-US" w:eastAsia="zh-CN"/>
        </w:rPr>
        <w:t>机构部</w:t>
      </w:r>
      <w:r>
        <w:rPr>
          <w:rFonts w:hint="eastAsia" w:ascii="仿宋_GB2312" w:hAnsi="仿宋" w:eastAsia="仿宋_GB2312"/>
          <w:sz w:val="32"/>
          <w:szCs w:val="32"/>
        </w:rPr>
        <w:t>、研究发展部等产品生产、引进或服务提供部门系公司产品与服务管理部门（以下简称产品与服务管理部门），具体职责如下：</w:t>
      </w:r>
    </w:p>
    <w:p w14:paraId="3CE0C54C">
      <w:pPr>
        <w:pStyle w:val="17"/>
        <w:numPr>
          <w:ilvl w:val="0"/>
          <w:numId w:val="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拟定各业务线产品或服务的风险级别评定标准及流程，根据流动性、到期时限、杠杆情况、结构复杂性、投资单位产品或服务的最低金额、投资方向和投资范围、募集方式、发行人等相关主体的信用状况、同类产品或服务过往业绩等评估要素与风险等级的相关性，建立评估</w:t>
      </w:r>
      <w:r>
        <w:rPr>
          <w:rFonts w:hint="eastAsia" w:ascii="仿宋_GB2312" w:hAnsi="仿宋" w:eastAsia="仿宋_GB2312"/>
          <w:sz w:val="32"/>
          <w:szCs w:val="32"/>
          <w:lang w:val="en-US" w:eastAsia="zh-CN"/>
        </w:rPr>
        <w:t>结果</w:t>
      </w:r>
      <w:r>
        <w:rPr>
          <w:rFonts w:hint="eastAsia" w:ascii="仿宋_GB2312" w:hAnsi="仿宋" w:eastAsia="仿宋_GB2312"/>
          <w:sz w:val="32"/>
          <w:szCs w:val="32"/>
        </w:rPr>
        <w:t>与产品或服务风险等级的对应关系</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具体评定标准及流程</w:t>
      </w:r>
      <w:r>
        <w:rPr>
          <w:rFonts w:hint="eastAsia" w:ascii="仿宋_GB2312" w:hAnsi="仿宋" w:eastAsia="仿宋_GB2312" w:cs="Times New Roman"/>
          <w:i w:val="0"/>
          <w:iCs w:val="0"/>
          <w:caps w:val="0"/>
          <w:color w:val="auto"/>
          <w:spacing w:val="0"/>
          <w:sz w:val="32"/>
          <w:szCs w:val="32"/>
          <w:shd w:val="clear" w:fill="auto"/>
        </w:rPr>
        <w:t>各业务线结合业务实际情况通过本业务线管理制度、业务流程予以明确</w:t>
      </w:r>
      <w:r>
        <w:rPr>
          <w:rFonts w:hint="eastAsia" w:ascii="仿宋_GB2312" w:hAnsi="仿宋" w:eastAsia="仿宋_GB2312"/>
          <w:sz w:val="32"/>
          <w:szCs w:val="32"/>
        </w:rPr>
        <w:t>；</w:t>
      </w:r>
    </w:p>
    <w:p w14:paraId="0FE2B602">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拟定各业务线产品或服务的风险等级名录，并根据法律法规、监管规定、业务规则的变化及时调整产品或服务的风险等级；</w:t>
      </w:r>
    </w:p>
    <w:p w14:paraId="5FB5CC21">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对各业务线产品或服务的信用风险、市场风险、操作风险、流动性风险等各类风险进行评估，制定相关控制指标，并对整体风险进行风险监控与持续业务监督；</w:t>
      </w:r>
    </w:p>
    <w:p w14:paraId="47A2E556">
      <w:pPr>
        <w:pStyle w:val="17"/>
        <w:numPr>
          <w:ilvl w:val="0"/>
          <w:numId w:val="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在实现与销售隔离的前提下，评定产品或服务的风险等级、投资品种、投资期限、期望收益等要素，但不应低于行业协会制定的产品或者服务风险等级名录所规定的风险等级；</w:t>
      </w:r>
    </w:p>
    <w:p w14:paraId="7EB094C6">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明确产品或服务的适销对象与条件，包括</w:t>
      </w:r>
      <w:r>
        <w:rPr>
          <w:rFonts w:hint="eastAsia" w:ascii="仿宋_GB2312" w:hAnsi="仿宋" w:eastAsia="仿宋_GB2312"/>
          <w:sz w:val="32"/>
          <w:szCs w:val="32"/>
          <w:lang w:eastAsia="zh-CN"/>
        </w:rPr>
        <w:t>投资者</w:t>
      </w:r>
      <w:r>
        <w:rPr>
          <w:rFonts w:hint="eastAsia" w:ascii="仿宋_GB2312" w:hAnsi="仿宋" w:eastAsia="仿宋_GB2312"/>
          <w:sz w:val="32"/>
          <w:szCs w:val="32"/>
        </w:rPr>
        <w:t>的类别、投资品种、投资期限、期望收益、合格投资者的范围等；</w:t>
      </w:r>
    </w:p>
    <w:p w14:paraId="111BDD82">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向销售部门提供真实、准确、完整的产品或服务销售材料，包括宣传资料、产品或服务合同、产品或服务说明书、风险揭示书等相关资料；</w:t>
      </w:r>
    </w:p>
    <w:p w14:paraId="66EDC8FD">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应根据产品或服务信息及评级分类结果，按照权力制衡原则，在实现制定主体与执行主体区分制衡的基础上，制定具体的销售制度与销售流程，并向分支机构等销售部门开展适当性管理制度、销售流程、产品或服务特征、适销对象等方面的培训，提供有关产品或服务的专业性咨询；</w:t>
      </w:r>
    </w:p>
    <w:p w14:paraId="14969FE9">
      <w:pPr>
        <w:pStyle w:val="17"/>
        <w:numPr>
          <w:ilvl w:val="0"/>
          <w:numId w:val="4"/>
        </w:numPr>
        <w:spacing w:line="560" w:lineRule="exact"/>
        <w:ind w:left="0" w:firstLine="640"/>
        <w:rPr>
          <w:rFonts w:ascii="仿宋_GB2312" w:eastAsia="仿宋_GB2312"/>
          <w:sz w:val="32"/>
          <w:szCs w:val="32"/>
        </w:rPr>
      </w:pPr>
      <w:r>
        <w:rPr>
          <w:rFonts w:hint="eastAsia" w:ascii="仿宋_GB2312" w:hAnsi="仿宋" w:eastAsia="仿宋_GB2312"/>
          <w:sz w:val="32"/>
          <w:szCs w:val="32"/>
        </w:rPr>
        <w:t>适当性管理委员会安排的其他事项。</w:t>
      </w:r>
    </w:p>
    <w:p w14:paraId="07A026F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 xml:space="preserve">  公司</w:t>
      </w:r>
      <w:r>
        <w:rPr>
          <w:rFonts w:hint="eastAsia" w:ascii="仿宋_GB2312" w:hAnsi="仿宋" w:eastAsia="仿宋_GB2312"/>
          <w:bCs/>
          <w:sz w:val="32"/>
          <w:szCs w:val="32"/>
          <w:lang w:val="en-US" w:eastAsia="zh-CN"/>
        </w:rPr>
        <w:t>销售</w:t>
      </w:r>
      <w:r>
        <w:rPr>
          <w:rFonts w:hint="eastAsia" w:ascii="仿宋_GB2312" w:hAnsi="仿宋" w:eastAsia="仿宋_GB2312"/>
          <w:bCs/>
          <w:sz w:val="32"/>
          <w:szCs w:val="32"/>
        </w:rPr>
        <w:t>产品与服务</w:t>
      </w:r>
      <w:r>
        <w:rPr>
          <w:rFonts w:hint="eastAsia" w:ascii="仿宋_GB2312" w:hAnsi="仿宋" w:eastAsia="仿宋_GB2312"/>
          <w:bCs/>
          <w:sz w:val="32"/>
          <w:szCs w:val="32"/>
          <w:lang w:val="en-US" w:eastAsia="zh-CN"/>
        </w:rPr>
        <w:t>的</w:t>
      </w:r>
      <w:r>
        <w:rPr>
          <w:rFonts w:hint="eastAsia" w:ascii="仿宋_GB2312" w:hAnsi="仿宋" w:eastAsia="仿宋_GB2312"/>
          <w:bCs/>
          <w:sz w:val="32"/>
          <w:szCs w:val="32"/>
        </w:rPr>
        <w:t>部门</w:t>
      </w:r>
      <w:r>
        <w:rPr>
          <w:rFonts w:hint="eastAsia" w:ascii="仿宋_GB2312" w:hAnsi="仿宋" w:eastAsia="仿宋_GB2312"/>
          <w:bCs/>
          <w:sz w:val="32"/>
          <w:szCs w:val="32"/>
          <w:lang w:val="en-US" w:eastAsia="zh-CN"/>
        </w:rPr>
        <w:t>及分支机构</w:t>
      </w:r>
      <w:r>
        <w:rPr>
          <w:rFonts w:hint="eastAsia" w:ascii="仿宋_GB2312" w:hAnsi="仿宋" w:eastAsia="仿宋_GB2312"/>
          <w:bCs/>
          <w:sz w:val="32"/>
          <w:szCs w:val="32"/>
        </w:rPr>
        <w:t>（以下简称产品与服务销售部门）。</w:t>
      </w:r>
      <w:r>
        <w:rPr>
          <w:rFonts w:hint="eastAsia" w:ascii="仿宋_GB2312" w:hAnsi="仿宋" w:eastAsia="仿宋_GB2312"/>
          <w:sz w:val="32"/>
          <w:szCs w:val="32"/>
        </w:rPr>
        <w:t>在销售工作中，</w:t>
      </w:r>
      <w:r>
        <w:rPr>
          <w:rFonts w:hint="eastAsia" w:ascii="仿宋_GB2312" w:hAnsi="仿宋" w:eastAsia="仿宋_GB2312"/>
          <w:bCs/>
          <w:sz w:val="32"/>
          <w:szCs w:val="32"/>
        </w:rPr>
        <w:t>产品与服务销售部门</w:t>
      </w:r>
      <w:r>
        <w:rPr>
          <w:rFonts w:hint="eastAsia" w:ascii="仿宋_GB2312" w:hAnsi="仿宋" w:eastAsia="仿宋_GB2312"/>
          <w:sz w:val="32"/>
          <w:szCs w:val="32"/>
        </w:rPr>
        <w:t>应根据本办法</w:t>
      </w:r>
      <w:r>
        <w:rPr>
          <w:rFonts w:hint="eastAsia" w:ascii="仿宋_GB2312" w:hAnsi="仿宋" w:eastAsia="仿宋_GB2312"/>
          <w:sz w:val="32"/>
          <w:szCs w:val="32"/>
          <w:lang w:val="en-US" w:eastAsia="zh-CN"/>
        </w:rPr>
        <w:t>及产品与服务管理部门适当性管理的</w:t>
      </w:r>
      <w:r>
        <w:rPr>
          <w:rFonts w:hint="eastAsia" w:ascii="仿宋_GB2312" w:hAnsi="仿宋" w:eastAsia="仿宋_GB2312"/>
          <w:sz w:val="32"/>
          <w:szCs w:val="32"/>
        </w:rPr>
        <w:t>规定，执行具体的销售流程，落实管控内容，并将执行落实情况与管理需求及时反馈</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管理部门。前述销售流程应至少包括：了解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以及产品或服务的宣传展示、推介、签约、</w:t>
      </w:r>
      <w:r>
        <w:rPr>
          <w:rFonts w:hint="eastAsia" w:ascii="仿宋_GB2312" w:hAnsi="仿宋" w:eastAsia="仿宋_GB2312"/>
          <w:sz w:val="32"/>
          <w:szCs w:val="32"/>
          <w:lang w:eastAsia="zh-CN"/>
        </w:rPr>
        <w:t>投资者</w:t>
      </w:r>
      <w:r>
        <w:rPr>
          <w:rFonts w:hint="eastAsia" w:ascii="仿宋_GB2312" w:hAnsi="仿宋" w:eastAsia="仿宋_GB2312"/>
          <w:sz w:val="32"/>
          <w:szCs w:val="32"/>
        </w:rPr>
        <w:t>回访、后续跟踪等；管控内容应至少包括：适当性匹配、风险揭示、留痕存档、信息披露等。</w:t>
      </w:r>
    </w:p>
    <w:p w14:paraId="353BCE1B">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风控合规部职责如下： </w:t>
      </w:r>
    </w:p>
    <w:p w14:paraId="40DDD5B2">
      <w:pPr>
        <w:pStyle w:val="16"/>
        <w:numPr>
          <w:ilvl w:val="0"/>
          <w:numId w:val="5"/>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履行适当性管理委员会秘书机构的具体职责，包括但不限于：提议召开适当性管理委员会会议，通知、组织、安排会议议程，跟踪</w:t>
      </w:r>
      <w:r>
        <w:rPr>
          <w:rFonts w:hint="eastAsia" w:ascii="仿宋_GB2312" w:hAnsi="仿宋" w:eastAsia="仿宋_GB2312"/>
          <w:bCs/>
          <w:sz w:val="32"/>
          <w:szCs w:val="32"/>
          <w:lang w:val="en-US" w:eastAsia="zh-CN"/>
        </w:rPr>
        <w:t>会议</w:t>
      </w:r>
      <w:r>
        <w:rPr>
          <w:rFonts w:hint="eastAsia" w:ascii="仿宋_GB2312" w:hAnsi="仿宋" w:eastAsia="仿宋_GB2312"/>
          <w:bCs/>
          <w:sz w:val="32"/>
          <w:szCs w:val="32"/>
        </w:rPr>
        <w:t>决议执行情况等事项；</w:t>
      </w:r>
    </w:p>
    <w:p w14:paraId="7C13A726">
      <w:pPr>
        <w:pStyle w:val="16"/>
        <w:numPr>
          <w:ilvl w:val="0"/>
          <w:numId w:val="5"/>
        </w:numPr>
        <w:spacing w:line="560" w:lineRule="exact"/>
        <w:ind w:left="0" w:firstLine="640"/>
        <w:rPr>
          <w:rFonts w:ascii="仿宋_GB2312" w:hAnsi="仿宋" w:eastAsia="仿宋_GB2312"/>
          <w:bCs/>
          <w:sz w:val="32"/>
          <w:szCs w:val="32"/>
        </w:rPr>
      </w:pPr>
      <w:r>
        <w:rPr>
          <w:rFonts w:hint="eastAsia" w:ascii="仿宋_GB2312" w:hAnsi="仿宋" w:eastAsia="仿宋_GB2312"/>
          <w:bCs/>
          <w:sz w:val="32"/>
          <w:szCs w:val="32"/>
        </w:rPr>
        <w:t>解读投资者适当性管理的相关法律法规、规则，审核公司各业务线投资者适当性管理的相关制度、流程、实施细则；</w:t>
      </w:r>
    </w:p>
    <w:p w14:paraId="519223FC">
      <w:pPr>
        <w:pStyle w:val="16"/>
        <w:numPr>
          <w:ilvl w:val="0"/>
          <w:numId w:val="5"/>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监督公司各业务线投资者适当性管理制度的执行落实工作，组织自查、合规检查等，对违法违规情形进行合规问责，督促整改；</w:t>
      </w:r>
    </w:p>
    <w:p w14:paraId="1A0D66A4">
      <w:pPr>
        <w:pStyle w:val="16"/>
        <w:numPr>
          <w:ilvl w:val="0"/>
          <w:numId w:val="5"/>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处理与投资者适当性相关的重大投诉、诉讼、仲裁等争议事件；</w:t>
      </w:r>
    </w:p>
    <w:p w14:paraId="7C387C1E">
      <w:pPr>
        <w:pStyle w:val="16"/>
        <w:numPr>
          <w:ilvl w:val="0"/>
          <w:numId w:val="5"/>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适当性管理委员会安排的其他事项。</w:t>
      </w:r>
    </w:p>
    <w:p w14:paraId="40C22E6F">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信息技术部应协同</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管理部门、产品与服务管理部门建立和维护统一的</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系统、产品管理系统等投资者适当性管理系统，全面采集信息，统一管理数据，实现系统前端控制，确保业务流程顺畅、系统有效衔接、信息留痕充分、档案管理电子化，全面运用信息技术手段实现投资者适当性管理工作的有序、高效开展。</w:t>
      </w:r>
    </w:p>
    <w:p w14:paraId="73D67DC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网点管理部负责投资者教育及各分支机构员工的产品及服务的销售行为管理，督导营销人员严格按公司对投资者适当性管理的各项规定展业，对分支机构和营销人员的营销行为负监督管理责任。</w:t>
      </w:r>
    </w:p>
    <w:p w14:paraId="67A02EA7">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 xml:space="preserve"> 办公室</w:t>
      </w:r>
      <w:r>
        <w:rPr>
          <w:rFonts w:hint="eastAsia" w:ascii="仿宋_GB2312" w:hAnsi="仿宋" w:eastAsia="仿宋_GB2312"/>
          <w:sz w:val="32"/>
          <w:szCs w:val="32"/>
          <w:lang w:val="en-US" w:eastAsia="zh-CN"/>
        </w:rPr>
        <w:t>应将适当性管理要求纳入公司绩效考核机制</w:t>
      </w:r>
      <w:r>
        <w:rPr>
          <w:rFonts w:hint="eastAsia" w:ascii="仿宋_GB2312" w:hAnsi="仿宋" w:eastAsia="仿宋_GB2312"/>
          <w:sz w:val="32"/>
          <w:szCs w:val="32"/>
        </w:rPr>
        <w:t>。</w:t>
      </w:r>
    </w:p>
    <w:p w14:paraId="0958F04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cs="Times New Roman"/>
          <w:sz w:val="32"/>
          <w:szCs w:val="32"/>
        </w:rPr>
        <w:t>稽核审计部对公司适当性管理工作的落实情况进行稽核审计</w:t>
      </w:r>
      <w:r>
        <w:rPr>
          <w:rFonts w:hint="eastAsia" w:ascii="仿宋_GB2312" w:hAnsi="仿宋" w:eastAsia="仿宋_GB2312" w:cs="Times New Roman"/>
          <w:sz w:val="32"/>
          <w:szCs w:val="32"/>
          <w:lang w:eastAsia="zh-CN"/>
        </w:rPr>
        <w:t>。</w:t>
      </w:r>
    </w:p>
    <w:p w14:paraId="4D486761">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公司各分支机构应遵循公司投资者适当性管理的各项制度规定，严格执行规范的销售流程，履行适当性管理义务，全面了解并如实记录投资者情况，确保本机构开发的</w:t>
      </w:r>
      <w:r>
        <w:rPr>
          <w:rFonts w:hint="eastAsia" w:ascii="仿宋_GB2312" w:hAnsi="仿宋" w:eastAsia="仿宋_GB2312"/>
          <w:sz w:val="32"/>
          <w:szCs w:val="32"/>
          <w:lang w:eastAsia="zh-CN"/>
        </w:rPr>
        <w:t>投资者</w:t>
      </w:r>
      <w:r>
        <w:rPr>
          <w:rFonts w:hint="eastAsia" w:ascii="仿宋_GB2312" w:hAnsi="仿宋" w:eastAsia="仿宋_GB2312"/>
          <w:sz w:val="32"/>
          <w:szCs w:val="32"/>
        </w:rPr>
        <w:t>信息真实、准确、完整，</w:t>
      </w:r>
      <w:r>
        <w:rPr>
          <w:rFonts w:hint="eastAsia" w:ascii="仿宋_GB2312" w:hAnsi="仿宋" w:eastAsia="仿宋_GB2312"/>
          <w:sz w:val="32"/>
          <w:szCs w:val="32"/>
          <w:lang w:val="en-US" w:eastAsia="zh-CN"/>
        </w:rPr>
        <w:t>在</w:t>
      </w:r>
      <w:r>
        <w:rPr>
          <w:rFonts w:hint="eastAsia" w:ascii="仿宋_GB2312" w:hAnsi="仿宋" w:eastAsia="仿宋_GB2312"/>
          <w:sz w:val="32"/>
          <w:szCs w:val="32"/>
        </w:rPr>
        <w:t>销售过程中向</w:t>
      </w:r>
      <w:r>
        <w:rPr>
          <w:rFonts w:hint="eastAsia" w:ascii="仿宋_GB2312" w:hAnsi="仿宋" w:eastAsia="仿宋_GB2312"/>
          <w:sz w:val="32"/>
          <w:szCs w:val="32"/>
          <w:lang w:eastAsia="zh-CN"/>
        </w:rPr>
        <w:t>投资者</w:t>
      </w:r>
      <w:r>
        <w:rPr>
          <w:rFonts w:hint="eastAsia" w:ascii="仿宋_GB2312" w:hAnsi="仿宋" w:eastAsia="仿宋_GB2312"/>
          <w:sz w:val="32"/>
          <w:szCs w:val="32"/>
        </w:rPr>
        <w:t>充分揭示风险，将适当的产品或服务销售或提供给适合的投资者，妥善记载和保存投资者适当性管理的档案。</w:t>
      </w:r>
    </w:p>
    <w:p w14:paraId="739B9591">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管理部门、产品与服务管理部门应制定具体业务的投资者适当性管理制度或实施细则，涵盖以下内容：</w:t>
      </w:r>
    </w:p>
    <w:p w14:paraId="01035261">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各部门及相关岗位的适当性管理职责</w:t>
      </w:r>
      <w:r>
        <w:rPr>
          <w:rFonts w:hint="eastAsia" w:ascii="仿宋_GB2312" w:hAnsi="仿宋" w:eastAsia="仿宋_GB2312"/>
          <w:sz w:val="32"/>
          <w:szCs w:val="32"/>
          <w:lang w:eastAsia="zh-CN"/>
        </w:rPr>
        <w:t>，</w:t>
      </w:r>
      <w:r>
        <w:rPr>
          <w:rFonts w:hint="eastAsia" w:ascii="仿宋_GB2312" w:hAnsi="仿宋" w:eastAsia="仿宋_GB2312"/>
          <w:sz w:val="32"/>
          <w:szCs w:val="32"/>
        </w:rPr>
        <w:t>业务涉及多个部门的，应在制度中明晰部门职责分工；</w:t>
      </w:r>
    </w:p>
    <w:p w14:paraId="0AB72135">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的标准、程序和方法；</w:t>
      </w:r>
    </w:p>
    <w:p w14:paraId="76CDD738">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分类的依据、方法和流程；</w:t>
      </w:r>
    </w:p>
    <w:p w14:paraId="28DC5101">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了解产品或服务的标准、程序和方法；</w:t>
      </w:r>
    </w:p>
    <w:p w14:paraId="5762F9A1">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产品或服务分级的依据、方法和流程；</w:t>
      </w:r>
    </w:p>
    <w:p w14:paraId="50896BDE">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适当性匹配的标准、程序和方法；</w:t>
      </w:r>
    </w:p>
    <w:p w14:paraId="5AD126C1">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val="en-US" w:eastAsia="zh-CN"/>
        </w:rPr>
        <w:t>部门、岗位</w:t>
      </w:r>
      <w:r>
        <w:rPr>
          <w:rFonts w:hint="eastAsia" w:ascii="仿宋_GB2312" w:hAnsi="仿宋" w:eastAsia="仿宋_GB2312"/>
          <w:sz w:val="32"/>
          <w:szCs w:val="32"/>
        </w:rPr>
        <w:t>职责分工、复核、监督、问责机制；</w:t>
      </w:r>
    </w:p>
    <w:p w14:paraId="276C091E">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执行适当性管理的保障机制；</w:t>
      </w:r>
    </w:p>
    <w:p w14:paraId="1D297716">
      <w:pPr>
        <w:pStyle w:val="16"/>
        <w:numPr>
          <w:ilvl w:val="0"/>
          <w:numId w:val="6"/>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其他应当规定的内容。</w:t>
      </w:r>
    </w:p>
    <w:p w14:paraId="57DA785E">
      <w:pPr>
        <w:pStyle w:val="16"/>
        <w:spacing w:line="560" w:lineRule="exact"/>
        <w:ind w:firstLine="0" w:firstLineChars="0"/>
        <w:jc w:val="center"/>
        <w:rPr>
          <w:rFonts w:ascii="黑体" w:hAnsi="黑体" w:eastAsia="黑体"/>
          <w:sz w:val="32"/>
          <w:szCs w:val="32"/>
        </w:rPr>
      </w:pPr>
      <w:r>
        <w:rPr>
          <w:rFonts w:hint="eastAsia" w:ascii="黑体" w:hAnsi="黑体" w:eastAsia="黑体"/>
          <w:sz w:val="32"/>
          <w:szCs w:val="32"/>
        </w:rPr>
        <w:t xml:space="preserve">第四章  </w:t>
      </w:r>
      <w:r>
        <w:rPr>
          <w:rFonts w:hint="eastAsia" w:ascii="黑体" w:hAnsi="黑体" w:eastAsia="黑体"/>
          <w:sz w:val="32"/>
          <w:szCs w:val="32"/>
          <w:lang w:eastAsia="zh-CN"/>
        </w:rPr>
        <w:t>投资者</w:t>
      </w:r>
      <w:r>
        <w:rPr>
          <w:rFonts w:hint="eastAsia" w:ascii="黑体" w:hAnsi="黑体" w:eastAsia="黑体"/>
          <w:sz w:val="32"/>
          <w:szCs w:val="32"/>
        </w:rPr>
        <w:t>分类</w:t>
      </w:r>
    </w:p>
    <w:p w14:paraId="6E35A899">
      <w:pPr>
        <w:pStyle w:val="16"/>
        <w:spacing w:line="560" w:lineRule="exact"/>
        <w:ind w:firstLine="0" w:firstLineChars="0"/>
        <w:jc w:val="center"/>
        <w:rPr>
          <w:rFonts w:ascii="楷体" w:hAnsi="楷体" w:eastAsia="楷体" w:cs="楷体"/>
          <w:sz w:val="32"/>
          <w:szCs w:val="32"/>
        </w:rPr>
      </w:pPr>
      <w:r>
        <w:rPr>
          <w:rFonts w:hint="eastAsia" w:ascii="楷体" w:hAnsi="楷体" w:eastAsia="楷体" w:cs="楷体"/>
          <w:sz w:val="32"/>
          <w:szCs w:val="32"/>
        </w:rPr>
        <w:t xml:space="preserve">第一节  </w:t>
      </w:r>
      <w:r>
        <w:rPr>
          <w:rFonts w:hint="eastAsia" w:ascii="楷体" w:hAnsi="楷体" w:eastAsia="楷体" w:cs="楷体"/>
          <w:sz w:val="32"/>
          <w:szCs w:val="32"/>
          <w:lang w:eastAsia="zh-CN"/>
        </w:rPr>
        <w:t>投资者</w:t>
      </w:r>
      <w:r>
        <w:rPr>
          <w:rFonts w:hint="eastAsia" w:ascii="楷体" w:hAnsi="楷体" w:eastAsia="楷体" w:cs="楷体"/>
          <w:sz w:val="32"/>
          <w:szCs w:val="32"/>
        </w:rPr>
        <w:t>信息采集</w:t>
      </w:r>
    </w:p>
    <w:p w14:paraId="773F169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产品与服务销售部门向</w:t>
      </w:r>
      <w:r>
        <w:rPr>
          <w:rFonts w:hint="eastAsia" w:ascii="仿宋_GB2312" w:hAnsi="仿宋" w:eastAsia="仿宋_GB2312"/>
          <w:sz w:val="32"/>
          <w:szCs w:val="32"/>
          <w:lang w:eastAsia="zh-CN"/>
        </w:rPr>
        <w:t>投资者</w:t>
      </w:r>
      <w:r>
        <w:rPr>
          <w:rFonts w:hint="eastAsia" w:ascii="仿宋_GB2312" w:hAnsi="仿宋" w:eastAsia="仿宋_GB2312"/>
          <w:sz w:val="32"/>
          <w:szCs w:val="32"/>
        </w:rPr>
        <w:t>销售产品或者提供服务时，应当了解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的</w:t>
      </w:r>
      <w:r>
        <w:rPr>
          <w:rFonts w:hint="eastAsia" w:ascii="仿宋_GB2312" w:hAnsi="仿宋" w:eastAsia="仿宋_GB2312"/>
          <w:sz w:val="32"/>
          <w:szCs w:val="32"/>
          <w:lang w:val="en-US" w:eastAsia="zh-CN"/>
        </w:rPr>
        <w:t>基本情况、财产状况、金融资产状况、交易知识和经验、专业能力等相关信息（包括但不限于以下信息），</w:t>
      </w:r>
      <w:r>
        <w:rPr>
          <w:rFonts w:hint="eastAsia" w:ascii="仿宋_GB2312" w:hAnsi="仿宋" w:eastAsia="仿宋_GB2312"/>
          <w:sz w:val="32"/>
          <w:szCs w:val="32"/>
        </w:rPr>
        <w:t>并要求其填写</w:t>
      </w:r>
      <w:r>
        <w:rPr>
          <w:rFonts w:hint="eastAsia" w:ascii="仿宋_GB2312" w:hAnsi="仿宋" w:eastAsia="仿宋_GB2312"/>
          <w:sz w:val="32"/>
          <w:szCs w:val="32"/>
          <w:lang w:eastAsia="zh-CN"/>
        </w:rPr>
        <w:t>投资者</w:t>
      </w:r>
      <w:r>
        <w:rPr>
          <w:rFonts w:hint="eastAsia" w:ascii="仿宋_GB2312" w:hAnsi="仿宋" w:eastAsia="仿宋_GB2312"/>
          <w:sz w:val="32"/>
          <w:szCs w:val="32"/>
        </w:rPr>
        <w:t>基本信息表、</w:t>
      </w:r>
      <w:r>
        <w:rPr>
          <w:rFonts w:hint="eastAsia" w:ascii="仿宋_GB2312" w:hAnsi="仿宋" w:eastAsia="仿宋_GB2312"/>
          <w:sz w:val="32"/>
          <w:szCs w:val="32"/>
          <w:lang w:eastAsia="zh-CN"/>
        </w:rPr>
        <w:t>投资者</w:t>
      </w:r>
      <w:r>
        <w:rPr>
          <w:rFonts w:hint="eastAsia" w:ascii="仿宋_GB2312" w:hAnsi="仿宋" w:eastAsia="仿宋_GB2312"/>
          <w:sz w:val="32"/>
          <w:szCs w:val="32"/>
        </w:rPr>
        <w:t>风险承受能力调查问卷</w:t>
      </w:r>
      <w:r>
        <w:rPr>
          <w:rFonts w:hint="eastAsia" w:ascii="仿宋_GB2312" w:hAnsi="仿宋" w:eastAsia="仿宋_GB2312"/>
          <w:sz w:val="32"/>
          <w:szCs w:val="32"/>
          <w:lang w:val="en-US" w:eastAsia="zh-CN"/>
        </w:rPr>
        <w:t>：</w:t>
      </w:r>
    </w:p>
    <w:p w14:paraId="29A98999">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自然人的姓名、国籍、住址、职业、年龄、联系方式，法人或者其他组织的名称、注册地址、办公地址、性质、资质及经营范围等基本信息；</w:t>
      </w:r>
    </w:p>
    <w:p w14:paraId="33D1E824">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收入来源和数额、资产、债务等财务状况；</w:t>
      </w:r>
    </w:p>
    <w:p w14:paraId="5FD46FC8">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投资相关的学习、工作经历及投资经验；</w:t>
      </w:r>
    </w:p>
    <w:p w14:paraId="5A55717E">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投资期限、品种、期望收益等投资目标；</w:t>
      </w:r>
    </w:p>
    <w:p w14:paraId="0D41CB1D">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风险偏好及可承受的损失；</w:t>
      </w:r>
    </w:p>
    <w:p w14:paraId="70E0A355">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诚信记录；</w:t>
      </w:r>
    </w:p>
    <w:p w14:paraId="68EF1310">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实际控制投资者的自然人和交易的实际受益人；</w:t>
      </w:r>
    </w:p>
    <w:p w14:paraId="39332063">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法律法规、自律规则规定的投资者准入要求相关信息；</w:t>
      </w:r>
    </w:p>
    <w:p w14:paraId="08283864">
      <w:pPr>
        <w:pStyle w:val="17"/>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其他必要信息。</w:t>
      </w:r>
    </w:p>
    <w:p w14:paraId="75A0FD09">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产品与服务销售部门应当告知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按照本办法第二十</w:t>
      </w:r>
      <w:r>
        <w:rPr>
          <w:rFonts w:hint="eastAsia" w:ascii="仿宋_GB2312" w:hAnsi="仿宋" w:eastAsia="仿宋_GB2312"/>
          <w:sz w:val="32"/>
          <w:szCs w:val="32"/>
          <w:lang w:val="en-US" w:eastAsia="zh-CN"/>
        </w:rPr>
        <w:t>四</w:t>
      </w:r>
      <w:r>
        <w:rPr>
          <w:rFonts w:hint="eastAsia" w:ascii="仿宋_GB2312" w:hAnsi="仿宋" w:eastAsia="仿宋_GB2312"/>
          <w:sz w:val="32"/>
          <w:szCs w:val="32"/>
        </w:rPr>
        <w:t>条提供的相关信息应当真实、准确、完整，否则应当依法承担相应法律责任。产品与服务销售部门有合理</w:t>
      </w:r>
      <w:r>
        <w:rPr>
          <w:rFonts w:hint="eastAsia" w:ascii="仿宋_GB2312" w:hAnsi="仿宋" w:eastAsia="仿宋_GB2312"/>
          <w:sz w:val="32"/>
          <w:szCs w:val="32"/>
          <w:lang w:val="en-US" w:eastAsia="zh-CN"/>
        </w:rPr>
        <w:t>理由</w:t>
      </w:r>
      <w:r>
        <w:rPr>
          <w:rFonts w:hint="eastAsia" w:ascii="仿宋_GB2312" w:hAnsi="仿宋" w:eastAsia="仿宋_GB2312"/>
          <w:sz w:val="32"/>
          <w:szCs w:val="32"/>
        </w:rPr>
        <w:t>认为</w:t>
      </w:r>
      <w:r>
        <w:rPr>
          <w:rFonts w:hint="eastAsia" w:ascii="仿宋_GB2312" w:hAnsi="仿宋" w:eastAsia="仿宋_GB2312"/>
          <w:sz w:val="32"/>
          <w:szCs w:val="32"/>
          <w:lang w:eastAsia="zh-CN"/>
        </w:rPr>
        <w:t>投资者</w:t>
      </w:r>
      <w:r>
        <w:rPr>
          <w:rFonts w:hint="eastAsia" w:ascii="仿宋_GB2312" w:hAnsi="仿宋" w:eastAsia="仿宋_GB2312"/>
          <w:sz w:val="32"/>
          <w:szCs w:val="32"/>
        </w:rPr>
        <w:t>未提供真实、准确、完整信息的，应当拒绝向其销售产品或者提供服务。</w:t>
      </w:r>
    </w:p>
    <w:p w14:paraId="3F9B6691">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产品与服务销售部门应当对</w:t>
      </w:r>
      <w:r>
        <w:rPr>
          <w:rFonts w:hint="eastAsia" w:ascii="仿宋_GB2312" w:hAnsi="仿宋" w:eastAsia="仿宋_GB2312"/>
          <w:sz w:val="32"/>
          <w:szCs w:val="32"/>
          <w:lang w:eastAsia="zh-CN"/>
        </w:rPr>
        <w:t>投资者</w:t>
      </w:r>
      <w:r>
        <w:rPr>
          <w:rFonts w:hint="eastAsia" w:ascii="仿宋_GB2312" w:hAnsi="仿宋" w:eastAsia="仿宋_GB2312"/>
          <w:sz w:val="32"/>
          <w:szCs w:val="32"/>
        </w:rPr>
        <w:t>提供的信息和证明材料进行核实，不得简单以</w:t>
      </w:r>
      <w:r>
        <w:rPr>
          <w:rFonts w:hint="eastAsia" w:ascii="仿宋_GB2312" w:hAnsi="仿宋" w:eastAsia="仿宋_GB2312"/>
          <w:sz w:val="32"/>
          <w:szCs w:val="32"/>
          <w:lang w:eastAsia="zh-CN"/>
        </w:rPr>
        <w:t>投资者</w:t>
      </w:r>
      <w:r>
        <w:rPr>
          <w:rFonts w:hint="eastAsia" w:ascii="仿宋_GB2312" w:hAnsi="仿宋" w:eastAsia="仿宋_GB2312"/>
          <w:sz w:val="32"/>
          <w:szCs w:val="32"/>
        </w:rPr>
        <w:t>承诺等方式，将了解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的责任转移给</w:t>
      </w:r>
      <w:r>
        <w:rPr>
          <w:rFonts w:hint="eastAsia" w:ascii="仿宋_GB2312" w:hAnsi="仿宋" w:eastAsia="仿宋_GB2312"/>
          <w:sz w:val="32"/>
          <w:szCs w:val="32"/>
          <w:lang w:eastAsia="zh-CN"/>
        </w:rPr>
        <w:t>投资者</w:t>
      </w:r>
      <w:r>
        <w:rPr>
          <w:rFonts w:hint="eastAsia" w:ascii="仿宋_GB2312" w:hAnsi="仿宋" w:eastAsia="仿宋_GB2312"/>
          <w:sz w:val="32"/>
          <w:szCs w:val="32"/>
        </w:rPr>
        <w:t>。</w:t>
      </w:r>
    </w:p>
    <w:p w14:paraId="54EEA2C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产品与服务销售部门工作人员在指导</w:t>
      </w:r>
      <w:r>
        <w:rPr>
          <w:rFonts w:hint="eastAsia" w:ascii="仿宋_GB2312" w:hAnsi="仿宋" w:eastAsia="仿宋_GB2312"/>
          <w:sz w:val="32"/>
          <w:szCs w:val="32"/>
          <w:lang w:eastAsia="zh-CN"/>
        </w:rPr>
        <w:t>投资者</w:t>
      </w:r>
      <w:r>
        <w:rPr>
          <w:rFonts w:hint="eastAsia" w:ascii="仿宋_GB2312" w:hAnsi="仿宋" w:eastAsia="仿宋_GB2312"/>
          <w:sz w:val="32"/>
          <w:szCs w:val="32"/>
        </w:rPr>
        <w:t>填写基本信息表、风险承受能力评估问卷时，不得</w:t>
      </w:r>
      <w:r>
        <w:rPr>
          <w:rFonts w:hint="eastAsia" w:ascii="仿宋_GB2312" w:hAnsi="仿宋" w:eastAsia="仿宋_GB2312"/>
          <w:sz w:val="32"/>
          <w:szCs w:val="32"/>
          <w:lang w:val="en-US" w:eastAsia="zh-CN"/>
        </w:rPr>
        <w:t>存在</w:t>
      </w:r>
      <w:r>
        <w:rPr>
          <w:rFonts w:hint="eastAsia" w:ascii="仿宋_GB2312" w:hAnsi="仿宋" w:eastAsia="仿宋_GB2312"/>
          <w:sz w:val="32"/>
          <w:szCs w:val="32"/>
        </w:rPr>
        <w:t>提示、暗示、诱导、误导等行为，欺骗</w:t>
      </w:r>
      <w:r>
        <w:rPr>
          <w:rFonts w:hint="eastAsia" w:ascii="仿宋_GB2312" w:hAnsi="仿宋" w:eastAsia="仿宋_GB2312"/>
          <w:sz w:val="32"/>
          <w:szCs w:val="32"/>
          <w:lang w:eastAsia="zh-CN"/>
        </w:rPr>
        <w:t>投资者</w:t>
      </w:r>
      <w:r>
        <w:rPr>
          <w:rFonts w:hint="eastAsia" w:ascii="仿宋_GB2312" w:hAnsi="仿宋" w:eastAsia="仿宋_GB2312"/>
          <w:sz w:val="32"/>
          <w:szCs w:val="32"/>
        </w:rPr>
        <w:t>影响填写结果。</w:t>
      </w:r>
    </w:p>
    <w:p w14:paraId="3D3E3294">
      <w:pPr>
        <w:pStyle w:val="16"/>
        <w:spacing w:line="560" w:lineRule="exact"/>
        <w:ind w:firstLine="0" w:firstLineChars="0"/>
        <w:jc w:val="center"/>
        <w:rPr>
          <w:rFonts w:hint="eastAsia" w:ascii="楷体" w:hAnsi="楷体" w:eastAsia="楷体" w:cs="楷体"/>
          <w:sz w:val="32"/>
          <w:szCs w:val="32"/>
        </w:rPr>
      </w:pPr>
      <w:r>
        <w:rPr>
          <w:rFonts w:hint="eastAsia" w:ascii="楷体" w:hAnsi="楷体" w:eastAsia="楷体" w:cs="楷体"/>
          <w:sz w:val="32"/>
          <w:szCs w:val="32"/>
        </w:rPr>
        <w:t>第二节  投资者分类</w:t>
      </w:r>
    </w:p>
    <w:p w14:paraId="1E04BB7E">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产品与服务销售部门根据所了解到的</w:t>
      </w:r>
      <w:r>
        <w:rPr>
          <w:rFonts w:hint="eastAsia" w:ascii="仿宋_GB2312" w:hAnsi="仿宋" w:eastAsia="仿宋_GB2312"/>
          <w:sz w:val="32"/>
          <w:szCs w:val="32"/>
          <w:lang w:eastAsia="zh-CN"/>
        </w:rPr>
        <w:t>投资者</w:t>
      </w:r>
      <w:r>
        <w:rPr>
          <w:rFonts w:hint="eastAsia" w:ascii="仿宋_GB2312" w:hAnsi="仿宋" w:eastAsia="仿宋_GB2312"/>
          <w:sz w:val="32"/>
          <w:szCs w:val="32"/>
        </w:rPr>
        <w:t>基本信息将投资者分为专业投资者和普通投资者，其中专业投资者根据属性划分为特殊专业投资者、一般专业投资者、经转化的专业投资者。</w:t>
      </w:r>
    </w:p>
    <w:p w14:paraId="5C6F981C">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普通投资者在信息告知、风险揭示、适当性匹配等方面享有特别保护。</w:t>
      </w:r>
    </w:p>
    <w:p w14:paraId="3BFFC9C7">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产品与服务销售部门依据了解的</w:t>
      </w:r>
      <w:r>
        <w:rPr>
          <w:rFonts w:hint="eastAsia" w:ascii="仿宋_GB2312" w:hAnsi="仿宋" w:eastAsia="仿宋_GB2312"/>
          <w:sz w:val="32"/>
          <w:szCs w:val="32"/>
          <w:lang w:eastAsia="zh-CN"/>
        </w:rPr>
        <w:t>投资者</w:t>
      </w:r>
      <w:r>
        <w:rPr>
          <w:rFonts w:hint="eastAsia" w:ascii="仿宋_GB2312" w:hAnsi="仿宋" w:eastAsia="仿宋_GB2312"/>
          <w:sz w:val="32"/>
          <w:szCs w:val="32"/>
        </w:rPr>
        <w:t>信息，可以将符合以下条件的</w:t>
      </w:r>
      <w:r>
        <w:rPr>
          <w:rFonts w:hint="eastAsia" w:ascii="仿宋_GB2312" w:hAnsi="仿宋" w:eastAsia="仿宋_GB2312"/>
          <w:sz w:val="32"/>
          <w:szCs w:val="32"/>
          <w:lang w:eastAsia="zh-CN"/>
        </w:rPr>
        <w:t>投资者</w:t>
      </w:r>
      <w:r>
        <w:rPr>
          <w:rFonts w:hint="eastAsia" w:ascii="仿宋_GB2312" w:hAnsi="仿宋" w:eastAsia="仿宋_GB2312"/>
          <w:sz w:val="32"/>
          <w:szCs w:val="32"/>
        </w:rPr>
        <w:t>划分为特殊专业投资者：</w:t>
      </w:r>
    </w:p>
    <w:p w14:paraId="286A9F0F">
      <w:pPr>
        <w:pStyle w:val="17"/>
        <w:numPr>
          <w:ilvl w:val="1"/>
          <w:numId w:val="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r>
        <w:rPr>
          <w:rFonts w:hint="eastAsia" w:ascii="仿宋_GB2312" w:hAnsi="仿宋" w:eastAsia="仿宋_GB2312"/>
          <w:sz w:val="32"/>
          <w:szCs w:val="32"/>
          <w:lang w:val="en-US" w:eastAsia="zh-CN"/>
        </w:rPr>
        <w:t>；</w:t>
      </w:r>
    </w:p>
    <w:p w14:paraId="7D6466FD">
      <w:pPr>
        <w:pStyle w:val="17"/>
        <w:numPr>
          <w:ilvl w:val="1"/>
          <w:numId w:val="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上述机构面向投资者发行的理财产品，包括但不限于证券公司资产管理产品、基金管理公司及其子公司产品、期货公司资产管理产品、银行理财产品、保险产品、信托产品、经行业协会备案的私募基金</w:t>
      </w:r>
      <w:r>
        <w:rPr>
          <w:rFonts w:hint="eastAsia" w:ascii="仿宋_GB2312" w:hAnsi="仿宋" w:eastAsia="仿宋_GB2312"/>
          <w:sz w:val="32"/>
          <w:szCs w:val="32"/>
          <w:lang w:val="en-US" w:eastAsia="zh-CN"/>
        </w:rPr>
        <w:t>；</w:t>
      </w:r>
    </w:p>
    <w:p w14:paraId="4CD8F0F4">
      <w:pPr>
        <w:pStyle w:val="17"/>
        <w:numPr>
          <w:ilvl w:val="1"/>
          <w:numId w:val="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社会保障基金、企业年金等养老基金，慈善基金等社会公益基金，合格境外机构投资者（QFII）、人民币合格境外机构投资者（RQFII）。</w:t>
      </w:r>
    </w:p>
    <w:p w14:paraId="456CC64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符合本办法规定的特殊专业投资者应当提供营业执照、经营证券、基金、期货业务的许可证、经营其他金融业务的许可证、基金会法人登记证明、私募基金管理人登记材料等身份证明材料，理财产品还需提供产品成立或备案证明文件等证明材料。符合前述条件的</w:t>
      </w:r>
      <w:r>
        <w:rPr>
          <w:rFonts w:hint="eastAsia" w:ascii="仿宋_GB2312" w:hAnsi="仿宋" w:eastAsia="仿宋_GB2312"/>
          <w:sz w:val="32"/>
          <w:szCs w:val="32"/>
          <w:lang w:eastAsia="zh-CN"/>
        </w:rPr>
        <w:t>投资者</w:t>
      </w:r>
      <w:r>
        <w:rPr>
          <w:rFonts w:hint="eastAsia" w:ascii="仿宋_GB2312" w:hAnsi="仿宋" w:eastAsia="仿宋_GB2312"/>
          <w:sz w:val="32"/>
          <w:szCs w:val="32"/>
        </w:rPr>
        <w:t>，公司可以直接将其认定为特殊专业投资者，并将认定结果书面告知投资者。</w:t>
      </w:r>
    </w:p>
    <w:p w14:paraId="0A2C40F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产品与服务销售部门依据了解的</w:t>
      </w:r>
      <w:r>
        <w:rPr>
          <w:rFonts w:hint="eastAsia" w:ascii="仿宋_GB2312" w:hAnsi="仿宋" w:eastAsia="仿宋_GB2312"/>
          <w:sz w:val="32"/>
          <w:szCs w:val="32"/>
          <w:lang w:eastAsia="zh-CN"/>
        </w:rPr>
        <w:t>投资者</w:t>
      </w:r>
      <w:r>
        <w:rPr>
          <w:rFonts w:hint="eastAsia" w:ascii="仿宋_GB2312" w:hAnsi="仿宋" w:eastAsia="仿宋_GB2312"/>
          <w:sz w:val="32"/>
          <w:szCs w:val="32"/>
        </w:rPr>
        <w:t>信息，可以将符合以下条件的</w:t>
      </w:r>
      <w:r>
        <w:rPr>
          <w:rFonts w:hint="eastAsia" w:ascii="仿宋_GB2312" w:hAnsi="仿宋" w:eastAsia="仿宋_GB2312"/>
          <w:sz w:val="32"/>
          <w:szCs w:val="32"/>
          <w:lang w:eastAsia="zh-CN"/>
        </w:rPr>
        <w:t>投资者</w:t>
      </w:r>
      <w:r>
        <w:rPr>
          <w:rFonts w:hint="eastAsia" w:ascii="仿宋_GB2312" w:hAnsi="仿宋" w:eastAsia="仿宋_GB2312"/>
          <w:sz w:val="32"/>
          <w:szCs w:val="32"/>
        </w:rPr>
        <w:t>划分</w:t>
      </w:r>
      <w:r>
        <w:rPr>
          <w:rFonts w:hint="eastAsia" w:ascii="仿宋_GB2312" w:hAnsi="仿宋" w:eastAsia="仿宋_GB2312"/>
          <w:sz w:val="32"/>
          <w:szCs w:val="32"/>
          <w:lang w:val="en-US" w:eastAsia="zh-CN"/>
        </w:rPr>
        <w:t>为</w:t>
      </w:r>
      <w:r>
        <w:rPr>
          <w:rFonts w:hint="eastAsia" w:ascii="仿宋_GB2312" w:hAnsi="仿宋" w:eastAsia="仿宋_GB2312"/>
          <w:sz w:val="32"/>
          <w:szCs w:val="32"/>
        </w:rPr>
        <w:t>一般专业投资者：</w:t>
      </w:r>
    </w:p>
    <w:p w14:paraId="3DE34D16">
      <w:pPr>
        <w:pStyle w:val="16"/>
        <w:numPr>
          <w:ilvl w:val="0"/>
          <w:numId w:val="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同时符合下列条件的法人或者其他组织：</w:t>
      </w:r>
    </w:p>
    <w:p w14:paraId="0488F4F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1.最近 1 年末净资产不低于 2000 万元；</w:t>
      </w:r>
    </w:p>
    <w:p w14:paraId="3CC3FAE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2.最近 1 年末金融资产不低于 1000 万元；</w:t>
      </w:r>
    </w:p>
    <w:p w14:paraId="6C2B625E">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3.具有 2 年以上证券、基金、期货、黄金、外汇等投资经历；</w:t>
      </w:r>
    </w:p>
    <w:p w14:paraId="28503EFB">
      <w:pPr>
        <w:pStyle w:val="16"/>
        <w:numPr>
          <w:ilvl w:val="0"/>
          <w:numId w:val="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同时符合下列条件的自然人：</w:t>
      </w:r>
    </w:p>
    <w:p w14:paraId="6A8EB2C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1.金融资产不低于 500 万元，或者最近 3 年个人年均收入不低于 50 万元；</w:t>
      </w:r>
    </w:p>
    <w:p w14:paraId="741B780C">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2.具有 2 年以上证券、基金、期货、黄金、外汇等投资经历，或者具有 2 年以上金融产品设计、投资、风险管理及相关工作经历，或者属于本条第（一）项规定的专业投资者的高级管理人员、获得职业资格认证的从事金融相关业务的注册会计师和律师。</w:t>
      </w:r>
    </w:p>
    <w:p w14:paraId="47325879">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前款所称金融资产，是指银行存款、股票、债券、基金份额、资产管理计划、银行理财产品、信托计划、保险产品、期货及其他衍生产品等。</w:t>
      </w:r>
    </w:p>
    <w:p w14:paraId="6A41947D">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符合条件的</w:t>
      </w:r>
      <w:r>
        <w:rPr>
          <w:rFonts w:hint="eastAsia" w:ascii="仿宋_GB2312" w:hAnsi="仿宋" w:eastAsia="仿宋_GB2312"/>
          <w:sz w:val="32"/>
          <w:szCs w:val="32"/>
          <w:lang w:eastAsia="zh-CN"/>
        </w:rPr>
        <w:t>投资者</w:t>
      </w:r>
      <w:r>
        <w:rPr>
          <w:rFonts w:hint="eastAsia" w:ascii="仿宋_GB2312" w:hAnsi="仿宋" w:eastAsia="仿宋_GB2312"/>
          <w:sz w:val="32"/>
          <w:szCs w:val="32"/>
        </w:rPr>
        <w:t>向产品与服务销售部门申请成为一般专业投资者，须遵循以下程序</w:t>
      </w:r>
      <w:r>
        <w:rPr>
          <w:rFonts w:hint="eastAsia" w:ascii="仿宋_GB2312" w:hAnsi="仿宋" w:eastAsia="仿宋_GB2312"/>
          <w:sz w:val="32"/>
          <w:szCs w:val="32"/>
          <w:lang w:eastAsia="zh-CN"/>
        </w:rPr>
        <w:t>：</w:t>
      </w:r>
    </w:p>
    <w:p w14:paraId="11A7985A">
      <w:pPr>
        <w:pStyle w:val="16"/>
        <w:numPr>
          <w:ilvl w:val="0"/>
          <w:numId w:val="10"/>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向销售部门提出书面申请并提交如下证明材料：</w:t>
      </w:r>
    </w:p>
    <w:p w14:paraId="001413ED">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1.法人或其他组织投资者提供最近一年的财务报表、金融资产证明文件、本机构2年以上的投资经历证明文件等；</w:t>
      </w:r>
    </w:p>
    <w:p w14:paraId="0080D6ED">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2.自然人投资者提供本人金融资产证明文件或近3年收入证明，投资经历或工作证明、职业资格证书等。</w:t>
      </w:r>
    </w:p>
    <w:p w14:paraId="15992FE0">
      <w:pPr>
        <w:pStyle w:val="16"/>
        <w:numPr>
          <w:ilvl w:val="0"/>
          <w:numId w:val="10"/>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销售部门评估通过后将结果、理由以及公司对专业投资者和普通投资者在履行适当性义务方面的差别书面告知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，警示其可能承担的投资风险；</w:t>
      </w:r>
    </w:p>
    <w:p w14:paraId="3C42402A">
      <w:pPr>
        <w:pStyle w:val="16"/>
        <w:numPr>
          <w:ilvl w:val="0"/>
          <w:numId w:val="10"/>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以书面方式承诺，已了解公司在履行适当性义务方面的差别，并确认自主承担可能产生的风险和后果。</w:t>
      </w:r>
    </w:p>
    <w:p w14:paraId="45A67D8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符合以下条件的普通投资者可以申请转化成为专业投资者，公司有权自主决定是否同意其转化申请：</w:t>
      </w:r>
    </w:p>
    <w:p w14:paraId="622D3A9A">
      <w:pPr>
        <w:pStyle w:val="16"/>
        <w:numPr>
          <w:ilvl w:val="0"/>
          <w:numId w:val="1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最近一年末净资产不低于1000万元人民币，最近一年末金融资产不低于500万元人民币，具有1年及以上从事证券、基金、期货、黄金、外汇等相关市场投资经历的、除专业投资者外的法人或者其他组织；</w:t>
      </w:r>
    </w:p>
    <w:p w14:paraId="153E03C3">
      <w:pPr>
        <w:pStyle w:val="16"/>
        <w:numPr>
          <w:ilvl w:val="0"/>
          <w:numId w:val="1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金融资产不低于300万元人民币或者最近3年个人年均收入不低于30万元人民币，具有1年以上证券、基金、期货、黄金、外汇等相关市场投资交易的经历，或者具有1年以上金融产品设计、投资、风险管理及相关工作经历除专业投资者外的自然人投资者。</w:t>
      </w:r>
    </w:p>
    <w:p w14:paraId="5FB0DB2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普通投资者申请转化为专业投资者应当遵循以下程序：</w:t>
      </w:r>
    </w:p>
    <w:p w14:paraId="01594EE4">
      <w:pPr>
        <w:pStyle w:val="16"/>
        <w:numPr>
          <w:ilvl w:val="0"/>
          <w:numId w:val="1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提出书面申请后，产品与销售部门应当追加了解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信息，要求</w:t>
      </w:r>
      <w:r>
        <w:rPr>
          <w:rFonts w:hint="eastAsia" w:ascii="仿宋_GB2312" w:hAnsi="仿宋" w:eastAsia="仿宋_GB2312"/>
          <w:sz w:val="32"/>
          <w:szCs w:val="32"/>
          <w:lang w:eastAsia="zh-CN"/>
        </w:rPr>
        <w:t>投资者</w:t>
      </w:r>
      <w:r>
        <w:rPr>
          <w:rFonts w:hint="eastAsia" w:ascii="仿宋_GB2312" w:hAnsi="仿宋" w:eastAsia="仿宋_GB2312"/>
          <w:sz w:val="32"/>
          <w:szCs w:val="32"/>
        </w:rPr>
        <w:t>提供如下证明材料；</w:t>
      </w:r>
    </w:p>
    <w:p w14:paraId="034548C9">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1.法人或其他组织</w:t>
      </w:r>
      <w:r>
        <w:rPr>
          <w:rFonts w:hint="eastAsia" w:ascii="仿宋_GB2312" w:hAnsi="仿宋" w:eastAsia="仿宋_GB2312"/>
          <w:sz w:val="32"/>
          <w:szCs w:val="32"/>
          <w:lang w:eastAsia="zh-CN"/>
        </w:rPr>
        <w:t>投资者</w:t>
      </w:r>
      <w:r>
        <w:rPr>
          <w:rFonts w:hint="eastAsia" w:ascii="仿宋_GB2312" w:hAnsi="仿宋" w:eastAsia="仿宋_GB2312"/>
          <w:sz w:val="32"/>
          <w:szCs w:val="32"/>
        </w:rPr>
        <w:t>需要提供最近一年的财务报表、金融资产证明文件、投资经历证明文件等；</w:t>
      </w:r>
    </w:p>
    <w:p w14:paraId="36B64F7F">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2. 自然人</w:t>
      </w:r>
      <w:r>
        <w:rPr>
          <w:rFonts w:hint="eastAsia" w:ascii="仿宋_GB2312" w:hAnsi="仿宋" w:eastAsia="仿宋_GB2312"/>
          <w:sz w:val="32"/>
          <w:szCs w:val="32"/>
          <w:lang w:eastAsia="zh-CN"/>
        </w:rPr>
        <w:t>投资者</w:t>
      </w:r>
      <w:r>
        <w:rPr>
          <w:rFonts w:hint="eastAsia" w:ascii="仿宋_GB2312" w:hAnsi="仿宋" w:eastAsia="仿宋_GB2312"/>
          <w:sz w:val="32"/>
          <w:szCs w:val="32"/>
        </w:rPr>
        <w:t>需提供近一个月本人的金融资产证明文件或近3年收入证明、投资经历或工作证明、职业资格证书等。</w:t>
      </w:r>
    </w:p>
    <w:p w14:paraId="01424071">
      <w:pPr>
        <w:pStyle w:val="16"/>
        <w:numPr>
          <w:ilvl w:val="0"/>
          <w:numId w:val="1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以书面方式承诺，已了解公司对专业投资者和普通投资者在履行投资者适当性职责方面的差别，并确认自主承担可能产生的风险和后果；</w:t>
      </w:r>
    </w:p>
    <w:p w14:paraId="28A3A7D2">
      <w:pPr>
        <w:pStyle w:val="16"/>
        <w:numPr>
          <w:ilvl w:val="0"/>
          <w:numId w:val="1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公司应当通过追加投资知识测试或模拟交易等方式对投资者进行谨慎评估，追加投资知识测试答对14题及以上的视为通过测试；</w:t>
      </w:r>
    </w:p>
    <w:p w14:paraId="1F18F601">
      <w:pPr>
        <w:pStyle w:val="16"/>
        <w:numPr>
          <w:ilvl w:val="0"/>
          <w:numId w:val="1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销售部门将结果及理由书面告知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，警示其可能承担的投资风险；</w:t>
      </w:r>
    </w:p>
    <w:p w14:paraId="5CCF6A79">
      <w:pPr>
        <w:pStyle w:val="16"/>
        <w:numPr>
          <w:ilvl w:val="0"/>
          <w:numId w:val="12"/>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销售部门对评估结果告知及警示过程应全过程录音或录像。</w:t>
      </w:r>
    </w:p>
    <w:p w14:paraId="74A6D207">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专业投资者以外的</w:t>
      </w:r>
      <w:r>
        <w:rPr>
          <w:rFonts w:hint="eastAsia" w:ascii="仿宋_GB2312" w:hAnsi="仿宋" w:eastAsia="仿宋_GB2312"/>
          <w:sz w:val="32"/>
          <w:szCs w:val="32"/>
          <w:lang w:eastAsia="zh-CN"/>
        </w:rPr>
        <w:t>投资者</w:t>
      </w:r>
      <w:r>
        <w:rPr>
          <w:rFonts w:hint="eastAsia" w:ascii="仿宋_GB2312" w:hAnsi="仿宋" w:eastAsia="仿宋_GB2312"/>
          <w:sz w:val="32"/>
          <w:szCs w:val="32"/>
        </w:rPr>
        <w:t>为普通投资者。</w:t>
      </w:r>
    </w:p>
    <w:p w14:paraId="79E4CE7B">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公司将普通投资者按其风险承受能力等级由低到高划分为：C1保守型、C2谨慎型、C3稳健型、C4积极型和C5激进型。</w:t>
      </w:r>
    </w:p>
    <w:p w14:paraId="28C38FAA">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公司对普通投资者的风险承受能力进行评估时，将综合考虑</w:t>
      </w:r>
      <w:r>
        <w:rPr>
          <w:rFonts w:hint="eastAsia" w:ascii="仿宋_GB2312" w:hAnsi="仿宋" w:eastAsia="仿宋_GB2312"/>
          <w:sz w:val="32"/>
          <w:szCs w:val="32"/>
          <w:lang w:eastAsia="zh-CN"/>
        </w:rPr>
        <w:t>投资者</w:t>
      </w:r>
      <w:r>
        <w:rPr>
          <w:rFonts w:hint="eastAsia" w:ascii="仿宋_GB2312" w:hAnsi="仿宋" w:eastAsia="仿宋_GB2312"/>
          <w:sz w:val="32"/>
          <w:szCs w:val="32"/>
        </w:rPr>
        <w:t>基本信息、收入来源、资产状况、债务、投资知识和经验、风险偏好、诚信状况等因素，统一制作</w:t>
      </w:r>
      <w:r>
        <w:rPr>
          <w:rFonts w:hint="eastAsia" w:ascii="仿宋_GB2312" w:hAnsi="仿宋" w:eastAsia="仿宋_GB2312"/>
          <w:sz w:val="32"/>
          <w:szCs w:val="32"/>
          <w:lang w:eastAsia="zh-CN"/>
        </w:rPr>
        <w:t>投资者</w:t>
      </w:r>
      <w:r>
        <w:rPr>
          <w:rFonts w:hint="eastAsia" w:ascii="仿宋_GB2312" w:hAnsi="仿宋" w:eastAsia="仿宋_GB2312"/>
          <w:sz w:val="32"/>
          <w:szCs w:val="32"/>
        </w:rPr>
        <w:t>风险承受能力评估问卷，根据评估选项与风险承受能力的相关性，确定选项的分值权重，建立评估分值与风险承受能力等级的关系。</w:t>
      </w:r>
    </w:p>
    <w:p w14:paraId="4CA40897">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val="en-US" w:eastAsia="zh-CN"/>
        </w:rPr>
        <w:t>公司对</w:t>
      </w:r>
      <w:r>
        <w:rPr>
          <w:rFonts w:hint="eastAsia" w:ascii="仿宋_GB2312" w:hAnsi="仿宋" w:eastAsia="仿宋_GB2312"/>
          <w:sz w:val="32"/>
          <w:szCs w:val="32"/>
        </w:rPr>
        <w:t>符合以下情形之一的</w:t>
      </w:r>
      <w:r>
        <w:rPr>
          <w:rFonts w:hint="eastAsia" w:ascii="仿宋_GB2312" w:hAnsi="仿宋" w:eastAsia="仿宋_GB2312"/>
          <w:sz w:val="32"/>
          <w:szCs w:val="32"/>
          <w:lang w:val="en-US" w:eastAsia="zh-CN"/>
        </w:rPr>
        <w:t>自然人投资者拒绝其办理业务</w:t>
      </w:r>
      <w:r>
        <w:rPr>
          <w:rFonts w:hint="eastAsia" w:ascii="仿宋_GB2312" w:hAnsi="仿宋" w:eastAsia="仿宋_GB2312"/>
          <w:sz w:val="32"/>
          <w:szCs w:val="32"/>
        </w:rPr>
        <w:t>：</w:t>
      </w:r>
    </w:p>
    <w:p w14:paraId="34B1D0E8">
      <w:pPr>
        <w:pStyle w:val="19"/>
        <w:numPr>
          <w:ilvl w:val="0"/>
          <w:numId w:val="13"/>
        </w:numPr>
        <w:autoSpaceDE/>
        <w:autoSpaceDN/>
        <w:spacing w:line="560" w:lineRule="exact"/>
        <w:ind w:left="0"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不具有完全民事行为能力；</w:t>
      </w:r>
    </w:p>
    <w:p w14:paraId="150C3001">
      <w:pPr>
        <w:pStyle w:val="19"/>
        <w:numPr>
          <w:ilvl w:val="0"/>
          <w:numId w:val="13"/>
        </w:numPr>
        <w:autoSpaceDE/>
        <w:autoSpaceDN/>
        <w:spacing w:line="560" w:lineRule="exact"/>
        <w:ind w:left="0"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没有风险容忍度或者不愿承受任何投资损失；</w:t>
      </w:r>
    </w:p>
    <w:p w14:paraId="6BBC5B45">
      <w:pPr>
        <w:pStyle w:val="19"/>
        <w:numPr>
          <w:ilvl w:val="0"/>
          <w:numId w:val="13"/>
        </w:numPr>
        <w:autoSpaceDE/>
        <w:autoSpaceDN/>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cs="Times New Roman"/>
          <w:i w:val="0"/>
          <w:iCs w:val="0"/>
          <w:caps w:val="0"/>
          <w:color w:val="444444"/>
          <w:spacing w:val="0"/>
          <w:sz w:val="32"/>
          <w:szCs w:val="32"/>
          <w:shd w:val="clear" w:fill="FFFFFF"/>
        </w:rPr>
        <w:t>明确表示身患可能会影响民事行为能力的生理或精神类疾病的</w:t>
      </w:r>
      <w:r>
        <w:rPr>
          <w:rFonts w:hint="eastAsia" w:ascii="仿宋_GB2312" w:hAnsi="仿宋" w:eastAsia="仿宋_GB2312" w:cs="Times New Roman"/>
          <w:i w:val="0"/>
          <w:iCs w:val="0"/>
          <w:caps w:val="0"/>
          <w:spacing w:val="0"/>
          <w:sz w:val="32"/>
          <w:szCs w:val="32"/>
          <w:shd w:val="clear"/>
          <w:lang w:val="en-US" w:eastAsia="zh-CN"/>
        </w:rPr>
        <w:t>；</w:t>
      </w:r>
    </w:p>
    <w:p w14:paraId="6358B6DD">
      <w:pPr>
        <w:pStyle w:val="19"/>
        <w:numPr>
          <w:ilvl w:val="0"/>
          <w:numId w:val="13"/>
        </w:numPr>
        <w:autoSpaceDE/>
        <w:autoSpaceDN/>
        <w:spacing w:line="560" w:lineRule="exact"/>
        <w:ind w:left="0"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法律、行政法规认定的其他情形。</w:t>
      </w:r>
    </w:p>
    <w:p w14:paraId="19210E9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产品与服务销售部门应要求</w:t>
      </w:r>
      <w:r>
        <w:rPr>
          <w:rFonts w:hint="eastAsia" w:ascii="仿宋_GB2312" w:hAnsi="仿宋" w:eastAsia="仿宋_GB2312"/>
          <w:sz w:val="32"/>
          <w:szCs w:val="32"/>
          <w:lang w:eastAsia="zh-CN"/>
        </w:rPr>
        <w:t>投资者</w:t>
      </w:r>
      <w:r>
        <w:rPr>
          <w:rFonts w:hint="eastAsia" w:ascii="仿宋_GB2312" w:hAnsi="仿宋" w:eastAsia="仿宋_GB2312"/>
          <w:sz w:val="32"/>
          <w:szCs w:val="32"/>
        </w:rPr>
        <w:t>填写风险承受能力评估问卷，确认其风险承受能力等级，并将评估结果以书面形式反馈，由</w:t>
      </w:r>
      <w:r>
        <w:rPr>
          <w:rFonts w:hint="eastAsia" w:ascii="仿宋_GB2312" w:hAnsi="仿宋" w:eastAsia="仿宋_GB2312"/>
          <w:sz w:val="32"/>
          <w:szCs w:val="32"/>
          <w:lang w:eastAsia="zh-CN"/>
        </w:rPr>
        <w:t>投资者</w:t>
      </w:r>
      <w:r>
        <w:rPr>
          <w:rFonts w:hint="eastAsia" w:ascii="仿宋_GB2312" w:hAnsi="仿宋" w:eastAsia="仿宋_GB2312"/>
          <w:sz w:val="32"/>
          <w:szCs w:val="32"/>
        </w:rPr>
        <w:t>签署确认。公司记载留存</w:t>
      </w:r>
      <w:r>
        <w:rPr>
          <w:rFonts w:hint="eastAsia" w:ascii="仿宋_GB2312" w:hAnsi="仿宋" w:eastAsia="仿宋_GB2312"/>
          <w:sz w:val="32"/>
          <w:szCs w:val="32"/>
          <w:lang w:eastAsia="zh-CN"/>
        </w:rPr>
        <w:t>投资者</w:t>
      </w:r>
      <w:r>
        <w:rPr>
          <w:rFonts w:hint="eastAsia" w:ascii="仿宋_GB2312" w:hAnsi="仿宋" w:eastAsia="仿宋_GB2312"/>
          <w:sz w:val="32"/>
          <w:szCs w:val="32"/>
        </w:rPr>
        <w:t>确认后的评估结果，无正当理由不得随意修改。</w:t>
      </w:r>
    </w:p>
    <w:p w14:paraId="2685D44A">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产品与服务销售部门和员工不得诱导、误导、欺骗投资者，影响填写结果。</w:t>
      </w:r>
    </w:p>
    <w:p w14:paraId="3AC997F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公司应当建立投资者评估数据库并及时更新，投资者评估数据库中应当至少包含下列信息：</w:t>
      </w:r>
    </w:p>
    <w:p w14:paraId="22482477">
      <w:pPr>
        <w:pStyle w:val="19"/>
        <w:numPr>
          <w:ilvl w:val="0"/>
          <w:numId w:val="1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已获知的本办法第二十</w:t>
      </w:r>
      <w:r>
        <w:rPr>
          <w:rFonts w:hint="eastAsia" w:ascii="仿宋_GB2312" w:hAnsi="仿宋" w:eastAsia="仿宋_GB2312"/>
          <w:sz w:val="32"/>
          <w:szCs w:val="32"/>
          <w:lang w:val="en-US" w:eastAsia="zh-CN"/>
        </w:rPr>
        <w:t>四</w:t>
      </w:r>
      <w:r>
        <w:rPr>
          <w:rFonts w:hint="eastAsia" w:ascii="仿宋_GB2312" w:hAnsi="仿宋" w:eastAsia="仿宋_GB2312"/>
          <w:sz w:val="32"/>
          <w:szCs w:val="32"/>
        </w:rPr>
        <w:t>条所规定的投资者信息及证明材料；</w:t>
      </w:r>
    </w:p>
    <w:p w14:paraId="19F98DDD">
      <w:pPr>
        <w:pStyle w:val="19"/>
        <w:numPr>
          <w:ilvl w:val="0"/>
          <w:numId w:val="1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公司了解到的投资者在公司从事投资活动所产生的失信行为记录；</w:t>
      </w:r>
    </w:p>
    <w:p w14:paraId="01FB521F">
      <w:pPr>
        <w:pStyle w:val="19"/>
        <w:numPr>
          <w:ilvl w:val="0"/>
          <w:numId w:val="1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投资者历次风险承受能力测评问卷内容、评级时间、评级结果等；</w:t>
      </w:r>
    </w:p>
    <w:p w14:paraId="4110AE0A">
      <w:pPr>
        <w:pStyle w:val="19"/>
        <w:numPr>
          <w:ilvl w:val="0"/>
          <w:numId w:val="1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投资者申请成为专业投资者或转化为普通投资者的申请及审核记录等；</w:t>
      </w:r>
    </w:p>
    <w:p w14:paraId="67477892">
      <w:pPr>
        <w:pStyle w:val="19"/>
        <w:numPr>
          <w:ilvl w:val="0"/>
          <w:numId w:val="1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中国证监会、自律组织及公司认为必要的其他信息。</w:t>
      </w:r>
    </w:p>
    <w:p w14:paraId="5A0DE3A7">
      <w:pPr>
        <w:pStyle w:val="16"/>
        <w:spacing w:line="560" w:lineRule="exact"/>
        <w:ind w:firstLine="0" w:firstLineChars="0"/>
        <w:jc w:val="center"/>
        <w:rPr>
          <w:rFonts w:ascii="黑体" w:hAnsi="黑体" w:eastAsia="黑体"/>
          <w:sz w:val="32"/>
          <w:szCs w:val="32"/>
        </w:rPr>
      </w:pPr>
      <w:r>
        <w:rPr>
          <w:rFonts w:hint="eastAsia" w:ascii="黑体" w:hAnsi="黑体" w:eastAsia="黑体"/>
          <w:sz w:val="32"/>
          <w:szCs w:val="32"/>
        </w:rPr>
        <w:t>第五章  产品或服务等级划分</w:t>
      </w:r>
    </w:p>
    <w:p w14:paraId="1EF27871">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产品与服务管理部门应建立产品或者服务风险等级评估体系，建立评估分值与产品或服务风险等级的对应关系</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制作</w:t>
      </w:r>
      <w:r>
        <w:rPr>
          <w:rFonts w:hint="eastAsia" w:ascii="仿宋_GB2312" w:hAnsi="仿宋" w:eastAsia="仿宋_GB2312"/>
          <w:sz w:val="32"/>
          <w:szCs w:val="32"/>
        </w:rPr>
        <w:t>《产品或者服务风险等级评估表》</w:t>
      </w:r>
      <w:r>
        <w:rPr>
          <w:rFonts w:hint="eastAsia" w:ascii="仿宋_GB2312" w:hAnsi="仿宋" w:eastAsia="仿宋_GB2312"/>
          <w:sz w:val="32"/>
          <w:szCs w:val="32"/>
          <w:lang w:val="en-US" w:eastAsia="zh-CN"/>
        </w:rPr>
        <w:t>模板表单</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用于评定产品或服务风险等级，并</w:t>
      </w:r>
      <w:r>
        <w:rPr>
          <w:rFonts w:hint="eastAsia" w:ascii="仿宋_GB2312" w:hAnsi="仿宋" w:eastAsia="仿宋_GB2312"/>
          <w:sz w:val="32"/>
          <w:szCs w:val="32"/>
        </w:rPr>
        <w:t>提交适当性管理委员会审议通过并备案。产品或服务等级划分应根据以下原则：</w:t>
      </w:r>
    </w:p>
    <w:p w14:paraId="13E804F8">
      <w:pPr>
        <w:numPr>
          <w:ilvl w:val="0"/>
          <w:numId w:val="15"/>
        </w:numPr>
        <w:spacing w:line="560" w:lineRule="exact"/>
        <w:ind w:left="0" w:leftChars="0" w:firstLine="640" w:firstLineChars="200"/>
        <w:jc w:val="both"/>
        <w:rPr>
          <w:rFonts w:ascii="仿宋_GB2312" w:hAnsi="仿宋" w:eastAsia="仿宋_GB2312"/>
          <w:sz w:val="32"/>
          <w:szCs w:val="32"/>
        </w:rPr>
      </w:pPr>
      <w:r>
        <w:rPr>
          <w:rFonts w:hint="eastAsia" w:ascii="仿宋_GB2312" w:hAnsi="仿宋" w:eastAsia="仿宋_GB2312"/>
          <w:sz w:val="32"/>
          <w:szCs w:val="32"/>
        </w:rPr>
        <w:t>根据风险特征和程度，采用定性分析和定量分析相结合的方式，对销售的产品或者提供的服务划分风险等级；</w:t>
      </w:r>
    </w:p>
    <w:p w14:paraId="6F59A60E">
      <w:pPr>
        <w:numPr>
          <w:ilvl w:val="0"/>
          <w:numId w:val="15"/>
        </w:numPr>
        <w:spacing w:line="560" w:lineRule="exact"/>
        <w:ind w:left="0" w:leftChars="0" w:firstLine="640" w:firstLineChars="200"/>
        <w:jc w:val="both"/>
        <w:rPr>
          <w:rFonts w:ascii="仿宋_GB2312" w:hAnsi="仿宋" w:eastAsia="仿宋_GB2312"/>
          <w:sz w:val="32"/>
          <w:szCs w:val="32"/>
        </w:rPr>
      </w:pPr>
      <w:r>
        <w:rPr>
          <w:rFonts w:hint="eastAsia" w:ascii="仿宋_GB2312" w:hAnsi="仿宋" w:eastAsia="仿宋_GB2312"/>
          <w:sz w:val="32"/>
          <w:szCs w:val="32"/>
        </w:rPr>
        <w:t>划分产品或者服务风险等级时应当综合考虑流动性、到期时限、杠杆情况、结构复杂性、投资单位产品或者相关服务的最低金额、投资方向和投资范围、募集方式、发行人等相关主体的信用状况、同类产品或者服务过往业绩等因素；</w:t>
      </w:r>
    </w:p>
    <w:p w14:paraId="23DE5F6F">
      <w:pPr>
        <w:numPr>
          <w:ilvl w:val="0"/>
          <w:numId w:val="15"/>
        </w:numPr>
        <w:spacing w:line="560" w:lineRule="exact"/>
        <w:ind w:left="0" w:leftChars="0" w:firstLine="640" w:firstLineChars="200"/>
        <w:jc w:val="both"/>
        <w:rPr>
          <w:rFonts w:ascii="仿宋_GB2312" w:hAnsi="仿宋" w:eastAsia="仿宋_GB2312"/>
          <w:sz w:val="32"/>
          <w:szCs w:val="32"/>
        </w:rPr>
      </w:pPr>
      <w:r>
        <w:rPr>
          <w:rFonts w:hint="eastAsia" w:ascii="仿宋_GB2312" w:hAnsi="仿宋" w:eastAsia="仿宋_GB2312"/>
          <w:sz w:val="32"/>
          <w:szCs w:val="32"/>
        </w:rPr>
        <w:t>可根据产品或者服务的评估因素与风险等级的相关性，确定各项评估因素的分值和权重，建立评估分值与产品或者服务风险等级的对应关系，确定产品或者服务的风险等级；</w:t>
      </w:r>
    </w:p>
    <w:p w14:paraId="534763C6">
      <w:pPr>
        <w:numPr>
          <w:ilvl w:val="0"/>
          <w:numId w:val="15"/>
        </w:numPr>
        <w:spacing w:line="560" w:lineRule="exact"/>
        <w:ind w:left="0" w:leftChars="0" w:firstLine="640" w:firstLineChars="200"/>
        <w:jc w:val="both"/>
        <w:rPr>
          <w:rFonts w:ascii="仿宋_GB2312" w:hAnsi="仿宋" w:eastAsia="仿宋_GB2312"/>
          <w:sz w:val="32"/>
          <w:szCs w:val="32"/>
        </w:rPr>
      </w:pPr>
      <w:r>
        <w:rPr>
          <w:rFonts w:hint="eastAsia" w:ascii="仿宋_GB2312" w:hAnsi="仿宋" w:eastAsia="仿宋_GB2312"/>
          <w:sz w:val="32"/>
          <w:szCs w:val="32"/>
        </w:rPr>
        <w:t>涉及投资组合的产品或者服务，应当按照产品或者服务整体风险等级进行评估；</w:t>
      </w:r>
    </w:p>
    <w:p w14:paraId="79134E92">
      <w:pPr>
        <w:numPr>
          <w:ilvl w:val="0"/>
          <w:numId w:val="15"/>
        </w:numPr>
        <w:spacing w:line="560" w:lineRule="exact"/>
        <w:ind w:left="0" w:leftChars="0" w:firstLine="640" w:firstLineChars="200"/>
        <w:jc w:val="both"/>
        <w:rPr>
          <w:rFonts w:ascii="仿宋_GB2312" w:hAnsi="仿宋" w:eastAsia="仿宋_GB2312"/>
          <w:sz w:val="32"/>
          <w:szCs w:val="32"/>
        </w:rPr>
      </w:pPr>
      <w:r>
        <w:rPr>
          <w:rFonts w:hint="eastAsia" w:ascii="仿宋_GB2312" w:hAnsi="仿宋" w:eastAsia="仿宋_GB2312"/>
          <w:sz w:val="32"/>
          <w:szCs w:val="32"/>
        </w:rPr>
        <w:t>产品或者服务对投资者有准入条件要求的，公司应加强要件审核，审慎向符合准入条件的</w:t>
      </w:r>
      <w:r>
        <w:rPr>
          <w:rFonts w:hint="eastAsia" w:ascii="仿宋_GB2312" w:hAnsi="仿宋" w:eastAsia="仿宋_GB2312"/>
          <w:sz w:val="32"/>
          <w:szCs w:val="32"/>
          <w:lang w:eastAsia="zh-CN"/>
        </w:rPr>
        <w:t>投资者</w:t>
      </w:r>
      <w:r>
        <w:rPr>
          <w:rFonts w:hint="eastAsia" w:ascii="仿宋_GB2312" w:hAnsi="仿宋" w:eastAsia="仿宋_GB2312"/>
          <w:sz w:val="32"/>
          <w:szCs w:val="32"/>
        </w:rPr>
        <w:t>销售</w:t>
      </w:r>
      <w:r>
        <w:rPr>
          <w:rFonts w:hint="eastAsia" w:ascii="仿宋_GB2312" w:hAnsi="仿宋" w:eastAsia="仿宋_GB2312"/>
          <w:sz w:val="32"/>
          <w:szCs w:val="32"/>
          <w:lang w:val="en-US" w:eastAsia="zh-CN"/>
        </w:rPr>
        <w:t>产品</w:t>
      </w:r>
      <w:r>
        <w:rPr>
          <w:rFonts w:hint="eastAsia" w:ascii="仿宋_GB2312" w:hAnsi="仿宋" w:eastAsia="仿宋_GB2312"/>
          <w:sz w:val="32"/>
          <w:szCs w:val="32"/>
        </w:rPr>
        <w:t>或者提供服务。</w:t>
      </w:r>
    </w:p>
    <w:p w14:paraId="59D9A2AA">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产品或者服务存在下列因素的，产品与服务管理部门应当审慎评估其风险等级：</w:t>
      </w:r>
    </w:p>
    <w:p w14:paraId="2E70B378">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存在本金损失的可能性，因杠杆交易等因素容易导致本金大部分或者全部损失的产品或者服务；</w:t>
      </w:r>
    </w:p>
    <w:p w14:paraId="1965EF94">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产品或者服务的流动变现能力，因无公开交易市场、参与投资者少等因素导致难以在短期内以合理价格顺利变现的产品或者服务；</w:t>
      </w:r>
    </w:p>
    <w:p w14:paraId="3121875E">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产品或者服务的可理解性，因结构复杂、不易估值等因素导致普通人难以理解其条款和特征的产品或者服务；</w:t>
      </w:r>
    </w:p>
    <w:p w14:paraId="2C57FD1D">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产品或者服务的募集方式，涉及面广、影响力大的公募产品或者相关服务；</w:t>
      </w:r>
    </w:p>
    <w:p w14:paraId="38E36E8A">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产品或者服务的跨境因素，存在市场差异、适用境外法律等情形的跨境发行或者交易的产品或者服务；</w:t>
      </w:r>
    </w:p>
    <w:p w14:paraId="6CD744DE">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自律组织认定的高风险产品或者服务；</w:t>
      </w:r>
    </w:p>
    <w:p w14:paraId="315C5182">
      <w:pPr>
        <w:pStyle w:val="16"/>
        <w:numPr>
          <w:ilvl w:val="0"/>
          <w:numId w:val="16"/>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其他有可能构成投资风险的因素。</w:t>
      </w:r>
    </w:p>
    <w:p w14:paraId="2D7D21BF">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产品与服务管理部门应制定《</w:t>
      </w:r>
      <w:r>
        <w:rPr>
          <w:rFonts w:hint="eastAsia" w:ascii="仿宋_GB2312" w:hAnsi="仿宋" w:eastAsia="仿宋_GB2312"/>
          <w:sz w:val="32"/>
          <w:szCs w:val="32"/>
          <w:highlight w:val="none"/>
        </w:rPr>
        <w:t>产品或服务</w:t>
      </w:r>
      <w:r>
        <w:rPr>
          <w:rFonts w:hint="eastAsia" w:ascii="仿宋_GB2312" w:hAnsi="仿宋" w:eastAsia="仿宋_GB2312"/>
          <w:sz w:val="32"/>
          <w:szCs w:val="32"/>
        </w:rPr>
        <w:t>风险等级名录》，相关产品或服务的风险等级不得低于行业协会制定的产品或服务风险等级名录所规定的风险等级。</w:t>
      </w:r>
    </w:p>
    <w:p w14:paraId="16E88EA6">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highlight w:val="none"/>
        </w:rPr>
        <w:t>产品或服务</w:t>
      </w:r>
      <w:r>
        <w:rPr>
          <w:rFonts w:hint="eastAsia" w:ascii="仿宋_GB2312" w:hAnsi="仿宋" w:eastAsia="仿宋_GB2312"/>
          <w:sz w:val="32"/>
          <w:szCs w:val="32"/>
        </w:rPr>
        <w:t>风险等级名录》应当提交适当性管理委员会审议通过并备案。</w:t>
      </w:r>
    </w:p>
    <w:p w14:paraId="67BCC35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公司将产品和服务的风险等级划分为五个等级，分别为R1低风险、R2中低风险、R3中等风险、R4中高等风险、R5高风险等级。</w:t>
      </w:r>
    </w:p>
    <w:p w14:paraId="406AFD2C">
      <w:pPr>
        <w:spacing w:line="560" w:lineRule="exact"/>
        <w:ind w:firstLine="640" w:firstLineChars="200"/>
        <w:rPr>
          <w:rFonts w:ascii="仿宋_GB2312" w:hAnsi="仿宋" w:eastAsia="仿宋_GB2312"/>
          <w:sz w:val="32"/>
          <w:szCs w:val="32"/>
        </w:rPr>
      </w:pPr>
    </w:p>
    <w:p w14:paraId="4353672F">
      <w:pPr>
        <w:pStyle w:val="16"/>
        <w:spacing w:line="560" w:lineRule="exact"/>
        <w:ind w:firstLine="0" w:firstLineChars="0"/>
        <w:jc w:val="center"/>
        <w:rPr>
          <w:rFonts w:ascii="黑体" w:hAnsi="黑体" w:eastAsia="黑体"/>
          <w:sz w:val="32"/>
          <w:szCs w:val="32"/>
        </w:rPr>
      </w:pPr>
      <w:r>
        <w:rPr>
          <w:rFonts w:hint="eastAsia" w:ascii="黑体" w:hAnsi="黑体" w:eastAsia="黑体"/>
          <w:sz w:val="32"/>
          <w:szCs w:val="32"/>
        </w:rPr>
        <w:t>第六章  适当性匹配与管理</w:t>
      </w:r>
    </w:p>
    <w:p w14:paraId="661D854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公司按照“适当的产品（服务）销售给适当的投资者”的原则向普通投资者销售产品或者提供服务，应当遵守以下适当性匹配要求：</w:t>
      </w:r>
    </w:p>
    <w:p w14:paraId="3C50A209">
      <w:pPr>
        <w:pStyle w:val="16"/>
        <w:numPr>
          <w:ilvl w:val="0"/>
          <w:numId w:val="17"/>
        </w:numPr>
        <w:spacing w:line="560" w:lineRule="exact"/>
        <w:ind w:firstLine="640"/>
        <w:rPr>
          <w:rFonts w:ascii="仿宋_GB2312" w:hAnsi="仿宋" w:eastAsia="仿宋_GB2312"/>
          <w:sz w:val="32"/>
          <w:szCs w:val="32"/>
        </w:rPr>
      </w:pPr>
      <w:bookmarkStart w:id="9" w:name="_GoBack"/>
      <w:r>
        <w:rPr>
          <w:rFonts w:hint="eastAsia" w:ascii="仿宋_GB2312" w:hAnsi="仿宋" w:eastAsia="仿宋_GB2312"/>
          <w:sz w:val="32"/>
          <w:szCs w:val="32"/>
        </w:rPr>
        <w:t>投资期限、投资品种、期望收益等符合投资者的投资目标；</w:t>
      </w:r>
    </w:p>
    <w:p w14:paraId="0CD93BB4">
      <w:pPr>
        <w:pStyle w:val="16"/>
        <w:numPr>
          <w:ilvl w:val="0"/>
          <w:numId w:val="17"/>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产品或服务的风险等级符合投资者的风险承受能力等级；</w:t>
      </w:r>
    </w:p>
    <w:p w14:paraId="3821776A">
      <w:pPr>
        <w:pStyle w:val="16"/>
        <w:numPr>
          <w:ilvl w:val="0"/>
          <w:numId w:val="17"/>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符合特定市场准入要求；</w:t>
      </w:r>
    </w:p>
    <w:p w14:paraId="1BC690F1">
      <w:pPr>
        <w:pStyle w:val="16"/>
        <w:numPr>
          <w:ilvl w:val="0"/>
          <w:numId w:val="17"/>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其他匹配要求。</w:t>
      </w:r>
    </w:p>
    <w:bookmarkEnd w:id="9"/>
    <w:p w14:paraId="32510A3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对于专业投资者，</w:t>
      </w:r>
      <w:r>
        <w:rPr>
          <w:rFonts w:hint="eastAsia" w:ascii="仿宋_GB2312" w:hAnsi="仿宋" w:eastAsia="仿宋_GB2312"/>
          <w:sz w:val="32"/>
          <w:szCs w:val="32"/>
          <w:highlight w:val="none"/>
        </w:rPr>
        <w:t>产品与服务销售部门根据经营管理需要可以豁免对其适当性匹配与管理义务。</w:t>
      </w:r>
    </w:p>
    <w:p w14:paraId="1EB2E6BF">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的风险承受能力等级与产品或服务的风险等级匹配标准具体如下：</w:t>
      </w:r>
    </w:p>
    <w:p w14:paraId="45A05A5F">
      <w:pPr>
        <w:pStyle w:val="17"/>
        <w:numPr>
          <w:ilvl w:val="0"/>
          <w:numId w:val="1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C5激进型投资者可以购买或者接受R5高风险、R4中高风险、R3中风险、R2中低风险和R1低风险的产品或服务；</w:t>
      </w:r>
    </w:p>
    <w:p w14:paraId="3A32D076">
      <w:pPr>
        <w:pStyle w:val="17"/>
        <w:numPr>
          <w:ilvl w:val="0"/>
          <w:numId w:val="1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C4积极型投资者可以购买或者接受R4中高风险、R3中风险、R2中低风险和R1低风险的产品或者服务；</w:t>
      </w:r>
    </w:p>
    <w:p w14:paraId="4E670310">
      <w:pPr>
        <w:pStyle w:val="17"/>
        <w:numPr>
          <w:ilvl w:val="0"/>
          <w:numId w:val="1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C3稳健型投资者可以购买或者接受R3中风险、R2中低风险和R1低风险的产品或者服务；</w:t>
      </w:r>
    </w:p>
    <w:p w14:paraId="48F19696">
      <w:pPr>
        <w:pStyle w:val="17"/>
        <w:numPr>
          <w:ilvl w:val="0"/>
          <w:numId w:val="1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C2谨慎型投资者可以购买或接受R2中低风险和R1低风险的产品或者服务；</w:t>
      </w:r>
    </w:p>
    <w:p w14:paraId="54E0BC48">
      <w:pPr>
        <w:pStyle w:val="16"/>
        <w:numPr>
          <w:ilvl w:val="0"/>
          <w:numId w:val="18"/>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C1保守型投资者可以购买或接受R1低风险的产品或服务。</w:t>
      </w:r>
    </w:p>
    <w:p w14:paraId="1A7CCDB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公司对于不配合公司履行适当性义务、无法或没有能力确认其身份或资金来源的</w:t>
      </w:r>
      <w:r>
        <w:rPr>
          <w:rFonts w:hint="eastAsia" w:ascii="仿宋_GB2312" w:hAnsi="仿宋" w:eastAsia="仿宋_GB2312"/>
          <w:sz w:val="32"/>
          <w:szCs w:val="32"/>
          <w:lang w:eastAsia="zh-CN"/>
        </w:rPr>
        <w:t>投资者</w:t>
      </w:r>
      <w:r>
        <w:rPr>
          <w:rFonts w:hint="eastAsia" w:ascii="仿宋_GB2312" w:hAnsi="仿宋" w:eastAsia="仿宋_GB2312"/>
          <w:sz w:val="32"/>
          <w:szCs w:val="32"/>
        </w:rPr>
        <w:t>，不得向其销售产品或提供服务；对存在恶意投诉、恶意诉讼、严重失信等不良诚信记录的</w:t>
      </w:r>
      <w:r>
        <w:rPr>
          <w:rFonts w:hint="eastAsia" w:ascii="仿宋_GB2312" w:hAnsi="仿宋" w:eastAsia="仿宋_GB2312"/>
          <w:sz w:val="32"/>
          <w:szCs w:val="32"/>
          <w:lang w:eastAsia="zh-CN"/>
        </w:rPr>
        <w:t>投资者</w:t>
      </w:r>
      <w:r>
        <w:rPr>
          <w:rFonts w:hint="eastAsia" w:ascii="仿宋_GB2312" w:hAnsi="仿宋" w:eastAsia="仿宋_GB2312"/>
          <w:sz w:val="32"/>
          <w:szCs w:val="32"/>
        </w:rPr>
        <w:t>，</w:t>
      </w:r>
      <w:r>
        <w:rPr>
          <w:rFonts w:hint="eastAsia" w:ascii="仿宋_GB2312" w:hAnsi="仿宋" w:eastAsia="仿宋_GB2312"/>
          <w:sz w:val="32"/>
          <w:szCs w:val="32"/>
          <w:lang w:val="en-US" w:eastAsia="zh-CN"/>
        </w:rPr>
        <w:t>应</w:t>
      </w:r>
      <w:r>
        <w:rPr>
          <w:rFonts w:hint="eastAsia" w:ascii="仿宋_GB2312" w:hAnsi="仿宋" w:eastAsia="仿宋_GB2312"/>
          <w:sz w:val="32"/>
          <w:szCs w:val="32"/>
        </w:rPr>
        <w:t>审慎向其销售产品或者提供服务。</w:t>
      </w:r>
    </w:p>
    <w:p w14:paraId="7846784D">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产品与服务销售部门向</w:t>
      </w:r>
      <w:r>
        <w:rPr>
          <w:rFonts w:hint="eastAsia" w:ascii="仿宋_GB2312" w:hAnsi="仿宋" w:eastAsia="仿宋_GB2312"/>
          <w:sz w:val="32"/>
          <w:szCs w:val="32"/>
          <w:lang w:eastAsia="zh-CN"/>
        </w:rPr>
        <w:t>投资者</w:t>
      </w:r>
      <w:r>
        <w:rPr>
          <w:rFonts w:hint="eastAsia" w:ascii="仿宋_GB2312" w:hAnsi="仿宋" w:eastAsia="仿宋_GB2312"/>
          <w:sz w:val="32"/>
          <w:szCs w:val="32"/>
        </w:rPr>
        <w:t>销售产品或者提供服务时禁止下列活动：</w:t>
      </w:r>
    </w:p>
    <w:p w14:paraId="422AE81D">
      <w:pPr>
        <w:pStyle w:val="17"/>
        <w:numPr>
          <w:ilvl w:val="0"/>
          <w:numId w:val="1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向不符合准入要求的</w:t>
      </w:r>
      <w:r>
        <w:rPr>
          <w:rFonts w:hint="eastAsia" w:ascii="仿宋_GB2312" w:hAnsi="仿宋" w:eastAsia="仿宋_GB2312"/>
          <w:sz w:val="32"/>
          <w:szCs w:val="32"/>
          <w:lang w:eastAsia="zh-CN"/>
        </w:rPr>
        <w:t>投资者</w:t>
      </w:r>
      <w:r>
        <w:rPr>
          <w:rFonts w:hint="eastAsia" w:ascii="仿宋_GB2312" w:hAnsi="仿宋" w:eastAsia="仿宋_GB2312"/>
          <w:sz w:val="32"/>
          <w:szCs w:val="32"/>
        </w:rPr>
        <w:t>销售产品或者提供服务；</w:t>
      </w:r>
    </w:p>
    <w:p w14:paraId="51F345FE">
      <w:pPr>
        <w:pStyle w:val="17"/>
        <w:numPr>
          <w:ilvl w:val="0"/>
          <w:numId w:val="1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向</w:t>
      </w:r>
      <w:r>
        <w:rPr>
          <w:rFonts w:hint="eastAsia" w:ascii="仿宋_GB2312" w:hAnsi="仿宋" w:eastAsia="仿宋_GB2312"/>
          <w:sz w:val="32"/>
          <w:szCs w:val="32"/>
          <w:lang w:eastAsia="zh-CN"/>
        </w:rPr>
        <w:t>投资者</w:t>
      </w:r>
      <w:r>
        <w:rPr>
          <w:rFonts w:hint="eastAsia" w:ascii="仿宋_GB2312" w:hAnsi="仿宋" w:eastAsia="仿宋_GB2312"/>
          <w:sz w:val="32"/>
          <w:szCs w:val="32"/>
        </w:rPr>
        <w:t>就不确定事项提供确定性的判断，或者告知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有可能使其误认为具有确定性的意见；</w:t>
      </w:r>
    </w:p>
    <w:p w14:paraId="18E0BCE1">
      <w:pPr>
        <w:pStyle w:val="17"/>
        <w:numPr>
          <w:ilvl w:val="0"/>
          <w:numId w:val="1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向普通投资者主动推介风险等级高于其风险承受能力的产品或者服务；</w:t>
      </w:r>
    </w:p>
    <w:p w14:paraId="31038107">
      <w:pPr>
        <w:pStyle w:val="17"/>
        <w:numPr>
          <w:ilvl w:val="0"/>
          <w:numId w:val="1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向普通投资者主动推介不符合其投资目标的产品或者服务；</w:t>
      </w:r>
    </w:p>
    <w:p w14:paraId="4B736DBA">
      <w:pPr>
        <w:pStyle w:val="16"/>
        <w:numPr>
          <w:ilvl w:val="0"/>
          <w:numId w:val="19"/>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其他违背适当性要求，损害</w:t>
      </w:r>
      <w:r>
        <w:rPr>
          <w:rFonts w:hint="eastAsia" w:ascii="仿宋_GB2312" w:hAnsi="仿宋" w:eastAsia="仿宋_GB2312"/>
          <w:sz w:val="32"/>
          <w:szCs w:val="32"/>
          <w:lang w:eastAsia="zh-CN"/>
        </w:rPr>
        <w:t>投资者</w:t>
      </w:r>
      <w:r>
        <w:rPr>
          <w:rFonts w:hint="eastAsia" w:ascii="仿宋_GB2312" w:hAnsi="仿宋" w:eastAsia="仿宋_GB2312"/>
          <w:sz w:val="32"/>
          <w:szCs w:val="32"/>
        </w:rPr>
        <w:t>合法权益的行为。</w:t>
      </w:r>
    </w:p>
    <w:p w14:paraId="5748968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w:t>
      </w:r>
      <w:r>
        <w:rPr>
          <w:rFonts w:hint="eastAsia" w:ascii="仿宋_GB2312" w:hAnsi="仿宋" w:eastAsia="仿宋_GB2312"/>
          <w:sz w:val="32"/>
          <w:szCs w:val="32"/>
          <w:lang w:val="en-US" w:eastAsia="zh-CN"/>
        </w:rPr>
        <w:t>服务</w:t>
      </w:r>
      <w:r>
        <w:rPr>
          <w:rFonts w:hint="eastAsia" w:ascii="仿宋_GB2312" w:hAnsi="仿宋" w:eastAsia="仿宋_GB2312"/>
          <w:sz w:val="32"/>
          <w:szCs w:val="32"/>
        </w:rPr>
        <w:t>销售部门向普通投资者销售产品或者提供服务前，应告知下列信息：</w:t>
      </w:r>
    </w:p>
    <w:p w14:paraId="68E07113">
      <w:pPr>
        <w:pStyle w:val="16"/>
        <w:numPr>
          <w:ilvl w:val="0"/>
          <w:numId w:val="20"/>
        </w:numPr>
        <w:spacing w:line="560" w:lineRule="exact"/>
        <w:ind w:left="0" w:firstLine="640" w:firstLineChars="200"/>
        <w:rPr>
          <w:rFonts w:ascii="仿宋_GB2312" w:hAnsi="仿宋" w:eastAsia="仿宋_GB2312" w:cstheme="minorEastAsia"/>
          <w:color w:val="000000"/>
          <w:kern w:val="0"/>
          <w:sz w:val="32"/>
          <w:szCs w:val="32"/>
        </w:rPr>
      </w:pPr>
      <w:r>
        <w:rPr>
          <w:rFonts w:hint="eastAsia" w:ascii="仿宋_GB2312" w:hAnsi="仿宋" w:eastAsia="仿宋_GB2312" w:cstheme="minorEastAsia"/>
          <w:color w:val="000000"/>
          <w:kern w:val="0"/>
          <w:sz w:val="32"/>
          <w:szCs w:val="32"/>
        </w:rPr>
        <w:t>可能直接导致本金亏损的事项；</w:t>
      </w:r>
    </w:p>
    <w:p w14:paraId="4C1D3DDB">
      <w:pPr>
        <w:pStyle w:val="16"/>
        <w:numPr>
          <w:ilvl w:val="0"/>
          <w:numId w:val="20"/>
        </w:numPr>
        <w:spacing w:line="560" w:lineRule="exact"/>
        <w:ind w:left="0" w:firstLine="640" w:firstLineChars="200"/>
        <w:rPr>
          <w:rFonts w:ascii="仿宋_GB2312" w:hAnsi="仿宋" w:eastAsia="仿宋_GB2312" w:cstheme="minorEastAsia"/>
          <w:color w:val="000000"/>
          <w:kern w:val="0"/>
          <w:sz w:val="32"/>
          <w:szCs w:val="32"/>
        </w:rPr>
      </w:pPr>
      <w:r>
        <w:rPr>
          <w:rFonts w:hint="eastAsia" w:ascii="仿宋_GB2312" w:hAnsi="仿宋" w:eastAsia="仿宋_GB2312" w:cstheme="minorEastAsia"/>
          <w:color w:val="000000"/>
          <w:kern w:val="0"/>
          <w:sz w:val="32"/>
          <w:szCs w:val="32"/>
        </w:rPr>
        <w:t>可能直接导致超过原始本金损失的事项；</w:t>
      </w:r>
    </w:p>
    <w:p w14:paraId="2625231B">
      <w:pPr>
        <w:pStyle w:val="16"/>
        <w:numPr>
          <w:ilvl w:val="0"/>
          <w:numId w:val="20"/>
        </w:numPr>
        <w:spacing w:line="560" w:lineRule="exact"/>
        <w:ind w:left="0" w:firstLine="640" w:firstLineChars="200"/>
        <w:rPr>
          <w:rFonts w:ascii="仿宋_GB2312" w:hAnsi="仿宋" w:eastAsia="仿宋_GB2312" w:cstheme="minorEastAsia"/>
          <w:color w:val="000000"/>
          <w:kern w:val="0"/>
          <w:sz w:val="32"/>
          <w:szCs w:val="32"/>
        </w:rPr>
      </w:pPr>
      <w:r>
        <w:rPr>
          <w:rFonts w:hint="eastAsia" w:ascii="仿宋_GB2312" w:hAnsi="仿宋" w:eastAsia="仿宋_GB2312" w:cstheme="minorEastAsia"/>
          <w:color w:val="000000"/>
          <w:kern w:val="0"/>
          <w:sz w:val="32"/>
          <w:szCs w:val="32"/>
        </w:rPr>
        <w:t>因经营机构的业务或者财产状况变化，可能导致本金或者原始本金亏损的事项；</w:t>
      </w:r>
    </w:p>
    <w:p w14:paraId="462CFFE2">
      <w:pPr>
        <w:pStyle w:val="16"/>
        <w:numPr>
          <w:ilvl w:val="0"/>
          <w:numId w:val="20"/>
        </w:numPr>
        <w:spacing w:line="560" w:lineRule="exact"/>
        <w:ind w:left="0" w:firstLine="640" w:firstLineChars="200"/>
        <w:rPr>
          <w:rFonts w:ascii="仿宋_GB2312" w:hAnsi="仿宋" w:eastAsia="仿宋_GB2312" w:cstheme="minorEastAsia"/>
          <w:color w:val="000000"/>
          <w:kern w:val="0"/>
          <w:sz w:val="32"/>
          <w:szCs w:val="32"/>
        </w:rPr>
      </w:pPr>
      <w:r>
        <w:rPr>
          <w:rFonts w:hint="eastAsia" w:ascii="仿宋_GB2312" w:hAnsi="仿宋" w:eastAsia="仿宋_GB2312" w:cstheme="minorEastAsia"/>
          <w:color w:val="000000"/>
          <w:kern w:val="0"/>
          <w:sz w:val="32"/>
          <w:szCs w:val="32"/>
        </w:rPr>
        <w:t>因经营机构的业务或者财产状况变化，影响</w:t>
      </w:r>
      <w:r>
        <w:rPr>
          <w:rFonts w:hint="eastAsia" w:ascii="仿宋_GB2312" w:hAnsi="仿宋" w:eastAsia="仿宋_GB2312" w:cstheme="minorEastAsia"/>
          <w:color w:val="000000"/>
          <w:kern w:val="0"/>
          <w:sz w:val="32"/>
          <w:szCs w:val="32"/>
          <w:lang w:eastAsia="zh-CN"/>
        </w:rPr>
        <w:t>投资者</w:t>
      </w:r>
      <w:r>
        <w:rPr>
          <w:rFonts w:hint="eastAsia" w:ascii="仿宋_GB2312" w:hAnsi="仿宋" w:eastAsia="仿宋_GB2312" w:cstheme="minorEastAsia"/>
          <w:color w:val="000000"/>
          <w:kern w:val="0"/>
          <w:sz w:val="32"/>
          <w:szCs w:val="32"/>
        </w:rPr>
        <w:t>判断的重要事项；</w:t>
      </w:r>
    </w:p>
    <w:p w14:paraId="09D78918">
      <w:pPr>
        <w:pStyle w:val="16"/>
        <w:numPr>
          <w:ilvl w:val="0"/>
          <w:numId w:val="20"/>
        </w:numPr>
        <w:spacing w:line="560" w:lineRule="exact"/>
        <w:ind w:left="0" w:firstLine="640" w:firstLineChars="200"/>
        <w:rPr>
          <w:rFonts w:ascii="仿宋_GB2312" w:hAnsi="仿宋" w:eastAsia="仿宋_GB2312" w:cstheme="minorEastAsia"/>
          <w:color w:val="000000"/>
          <w:kern w:val="0"/>
          <w:sz w:val="32"/>
          <w:szCs w:val="32"/>
        </w:rPr>
      </w:pPr>
      <w:r>
        <w:rPr>
          <w:rFonts w:hint="eastAsia" w:ascii="仿宋_GB2312" w:hAnsi="仿宋" w:eastAsia="仿宋_GB2312" w:cstheme="minorEastAsia"/>
          <w:color w:val="000000"/>
          <w:kern w:val="0"/>
          <w:sz w:val="32"/>
          <w:szCs w:val="32"/>
        </w:rPr>
        <w:t>限制销售对象权利行使</w:t>
      </w:r>
      <w:r>
        <w:rPr>
          <w:rFonts w:hint="eastAsia" w:ascii="仿宋_GB2312" w:hAnsi="仿宋" w:eastAsia="仿宋_GB2312" w:cstheme="minorEastAsia"/>
          <w:color w:val="000000"/>
          <w:kern w:val="0"/>
          <w:sz w:val="32"/>
          <w:szCs w:val="32"/>
          <w:lang w:val="en-US" w:eastAsia="zh-CN"/>
        </w:rPr>
        <w:t>期限</w:t>
      </w:r>
      <w:r>
        <w:rPr>
          <w:rFonts w:hint="eastAsia" w:ascii="仿宋_GB2312" w:hAnsi="仿宋" w:eastAsia="仿宋_GB2312" w:cstheme="minorEastAsia"/>
          <w:color w:val="000000"/>
          <w:kern w:val="0"/>
          <w:sz w:val="32"/>
          <w:szCs w:val="32"/>
        </w:rPr>
        <w:t>或者可解除合同期限等全部限制内容；</w:t>
      </w:r>
    </w:p>
    <w:p w14:paraId="570A4141">
      <w:pPr>
        <w:pStyle w:val="16"/>
        <w:numPr>
          <w:ilvl w:val="0"/>
          <w:numId w:val="20"/>
        </w:numPr>
        <w:spacing w:line="560" w:lineRule="exact"/>
        <w:ind w:left="0" w:firstLine="640" w:firstLineChars="200"/>
        <w:rPr>
          <w:rFonts w:ascii="仿宋_GB2312" w:hAnsi="仿宋" w:eastAsia="仿宋_GB2312"/>
          <w:sz w:val="32"/>
          <w:szCs w:val="32"/>
        </w:rPr>
      </w:pPr>
      <w:r>
        <w:rPr>
          <w:rFonts w:hint="eastAsia" w:ascii="仿宋_GB2312" w:hAnsi="仿宋" w:eastAsia="仿宋_GB2312" w:cstheme="minorEastAsia"/>
          <w:color w:val="000000"/>
          <w:kern w:val="0"/>
          <w:sz w:val="32"/>
          <w:szCs w:val="32"/>
        </w:rPr>
        <w:t>适当性匹配意见等。</w:t>
      </w:r>
    </w:p>
    <w:p w14:paraId="16283D50">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产品与服务销售部门应当根据产品或者服务的不同风险等级，对其销售产品或提供服务的投资者类型</w:t>
      </w:r>
      <w:r>
        <w:rPr>
          <w:rFonts w:hint="eastAsia" w:ascii="仿宋_GB2312" w:hAnsi="仿宋" w:eastAsia="仿宋_GB2312"/>
          <w:sz w:val="32"/>
          <w:szCs w:val="32"/>
          <w:lang w:val="en-US" w:eastAsia="zh-CN"/>
        </w:rPr>
        <w:t>作</w:t>
      </w:r>
      <w:r>
        <w:rPr>
          <w:rFonts w:hint="eastAsia" w:ascii="仿宋_GB2312" w:hAnsi="仿宋" w:eastAsia="仿宋_GB2312"/>
          <w:sz w:val="32"/>
          <w:szCs w:val="32"/>
        </w:rPr>
        <w:t>出判断。根据</w:t>
      </w:r>
      <w:r>
        <w:rPr>
          <w:rFonts w:hint="eastAsia" w:ascii="仿宋_GB2312" w:hAnsi="仿宋" w:eastAsia="仿宋_GB2312"/>
          <w:sz w:val="32"/>
          <w:szCs w:val="32"/>
          <w:lang w:eastAsia="zh-CN"/>
        </w:rPr>
        <w:t>投资者</w:t>
      </w:r>
      <w:r>
        <w:rPr>
          <w:rFonts w:hint="eastAsia" w:ascii="仿宋_GB2312" w:hAnsi="仿宋" w:eastAsia="仿宋_GB2312"/>
          <w:sz w:val="32"/>
          <w:szCs w:val="32"/>
        </w:rPr>
        <w:t>的不同分类，对其适合购买的产品或者接受的服务作出判断，并对每名</w:t>
      </w:r>
      <w:r>
        <w:rPr>
          <w:rFonts w:hint="eastAsia" w:ascii="仿宋_GB2312" w:hAnsi="仿宋" w:eastAsia="仿宋_GB2312"/>
          <w:sz w:val="32"/>
          <w:szCs w:val="32"/>
          <w:lang w:eastAsia="zh-CN"/>
        </w:rPr>
        <w:t>投资者</w:t>
      </w:r>
      <w:r>
        <w:rPr>
          <w:rFonts w:hint="eastAsia" w:ascii="仿宋_GB2312" w:hAnsi="仿宋" w:eastAsia="仿宋_GB2312"/>
          <w:sz w:val="32"/>
          <w:szCs w:val="32"/>
        </w:rPr>
        <w:t>提出适当性匹配意见，由</w:t>
      </w:r>
      <w:r>
        <w:rPr>
          <w:rFonts w:hint="eastAsia" w:ascii="仿宋_GB2312" w:hAnsi="仿宋" w:eastAsia="仿宋_GB2312"/>
          <w:sz w:val="32"/>
          <w:szCs w:val="32"/>
          <w:lang w:eastAsia="zh-CN"/>
        </w:rPr>
        <w:t>投资者</w:t>
      </w:r>
      <w:r>
        <w:rPr>
          <w:rFonts w:hint="eastAsia" w:ascii="仿宋_GB2312" w:hAnsi="仿宋" w:eastAsia="仿宋_GB2312"/>
          <w:sz w:val="32"/>
          <w:szCs w:val="32"/>
        </w:rPr>
        <w:t>签署适当性评估结果确认书。</w:t>
      </w:r>
    </w:p>
    <w:p w14:paraId="48B5D4B9">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产品与服务销售部门应当告知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：公司履行投资者适当性职责不能取代</w:t>
      </w:r>
      <w:r>
        <w:rPr>
          <w:rFonts w:hint="eastAsia" w:ascii="仿宋_GB2312" w:hAnsi="仿宋" w:eastAsia="仿宋_GB2312"/>
          <w:sz w:val="32"/>
          <w:szCs w:val="32"/>
          <w:lang w:eastAsia="zh-CN"/>
        </w:rPr>
        <w:t>投资者</w:t>
      </w:r>
      <w:r>
        <w:rPr>
          <w:rFonts w:hint="eastAsia" w:ascii="仿宋_GB2312" w:hAnsi="仿宋" w:eastAsia="仿宋_GB2312"/>
          <w:sz w:val="32"/>
          <w:szCs w:val="32"/>
        </w:rPr>
        <w:t>本人的投资判断，不会降低产品或服务的固有风险，也不会影响</w:t>
      </w:r>
      <w:r>
        <w:rPr>
          <w:rFonts w:hint="eastAsia" w:ascii="仿宋_GB2312" w:hAnsi="仿宋" w:eastAsia="仿宋_GB2312"/>
          <w:sz w:val="32"/>
          <w:szCs w:val="32"/>
          <w:lang w:eastAsia="zh-CN"/>
        </w:rPr>
        <w:t>投资者</w:t>
      </w:r>
      <w:r>
        <w:rPr>
          <w:rFonts w:hint="eastAsia" w:ascii="仿宋_GB2312" w:hAnsi="仿宋" w:eastAsia="仿宋_GB2312"/>
          <w:sz w:val="32"/>
          <w:szCs w:val="32"/>
        </w:rPr>
        <w:t>依法承担相应的投资风险、履约责任以及费用，适当性匹配意见不表明公司对产品或者服务的风险和收益作出实质性判断或者保证。</w:t>
      </w:r>
    </w:p>
    <w:p w14:paraId="7352F1C6">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产品与服务销售部门在告知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不适合购买相关产品或者接受相关服务后，</w:t>
      </w:r>
      <w:r>
        <w:rPr>
          <w:rFonts w:hint="eastAsia" w:ascii="仿宋_GB2312" w:hAnsi="仿宋" w:eastAsia="仿宋_GB2312"/>
          <w:sz w:val="32"/>
          <w:szCs w:val="32"/>
          <w:lang w:eastAsia="zh-CN"/>
        </w:rPr>
        <w:t>投资者</w:t>
      </w:r>
      <w:r>
        <w:rPr>
          <w:rFonts w:hint="eastAsia" w:ascii="仿宋_GB2312" w:hAnsi="仿宋" w:eastAsia="仿宋_GB2312"/>
          <w:sz w:val="32"/>
          <w:szCs w:val="32"/>
        </w:rPr>
        <w:t>主动要求购买风险等级高于其风险承受能力的产品或者接受相关服务的，应当要求投资者签署特别风险警示函，确认其已知悉产品或者服务的风险特征、风险高于投资者承受能力的事实及可能引起的后果。并履行以下义务：</w:t>
      </w:r>
    </w:p>
    <w:p w14:paraId="1E67DE73">
      <w:pPr>
        <w:pStyle w:val="16"/>
        <w:numPr>
          <w:ilvl w:val="0"/>
          <w:numId w:val="2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确认为投资者本人意愿；</w:t>
      </w:r>
    </w:p>
    <w:p w14:paraId="33FA960E">
      <w:pPr>
        <w:pStyle w:val="16"/>
        <w:numPr>
          <w:ilvl w:val="0"/>
          <w:numId w:val="2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就产品或服务风险高于</w:t>
      </w:r>
      <w:r>
        <w:rPr>
          <w:rFonts w:hint="eastAsia" w:ascii="仿宋_GB2312" w:hAnsi="仿宋" w:eastAsia="仿宋_GB2312"/>
          <w:sz w:val="32"/>
          <w:szCs w:val="32"/>
          <w:lang w:eastAsia="zh-CN"/>
        </w:rPr>
        <w:t>投资者</w:t>
      </w:r>
      <w:r>
        <w:rPr>
          <w:rFonts w:hint="eastAsia" w:ascii="仿宋_GB2312" w:hAnsi="仿宋" w:eastAsia="仿宋_GB2312"/>
          <w:sz w:val="32"/>
          <w:szCs w:val="32"/>
          <w:lang w:val="en-US" w:eastAsia="zh-CN"/>
        </w:rPr>
        <w:t>风险</w:t>
      </w:r>
      <w:r>
        <w:rPr>
          <w:rFonts w:hint="eastAsia" w:ascii="仿宋_GB2312" w:hAnsi="仿宋" w:eastAsia="仿宋_GB2312"/>
          <w:sz w:val="32"/>
          <w:szCs w:val="32"/>
        </w:rPr>
        <w:t>承受能力进行风险警示，告知特别的风险点；</w:t>
      </w:r>
    </w:p>
    <w:p w14:paraId="36F47617">
      <w:pPr>
        <w:pStyle w:val="16"/>
        <w:numPr>
          <w:ilvl w:val="0"/>
          <w:numId w:val="2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仍坚持购买或要求提供的，须签署购买高于自身风险承受能力产品或服务的风险警示书。</w:t>
      </w:r>
    </w:p>
    <w:p w14:paraId="7D7831EA">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val="en-US" w:eastAsia="zh-CN"/>
        </w:rPr>
        <w:t>产品与服务销售部门应根据各业务线对于投资者</w:t>
      </w:r>
      <w:r>
        <w:rPr>
          <w:rFonts w:hint="eastAsia" w:ascii="仿宋_GB2312" w:hAnsi="仿宋" w:eastAsia="仿宋_GB2312"/>
          <w:sz w:val="32"/>
          <w:szCs w:val="32"/>
        </w:rPr>
        <w:t>购买风险等级高于其</w:t>
      </w:r>
      <w:r>
        <w:rPr>
          <w:rFonts w:hint="eastAsia" w:ascii="仿宋_GB2312" w:hAnsi="仿宋" w:eastAsia="仿宋_GB2312"/>
          <w:sz w:val="32"/>
          <w:szCs w:val="32"/>
          <w:lang w:val="en-US" w:eastAsia="zh-CN"/>
        </w:rPr>
        <w:t>自身</w:t>
      </w:r>
      <w:r>
        <w:rPr>
          <w:rFonts w:hint="eastAsia" w:ascii="仿宋_GB2312" w:hAnsi="仿宋" w:eastAsia="仿宋_GB2312"/>
          <w:sz w:val="32"/>
          <w:szCs w:val="32"/>
        </w:rPr>
        <w:t>风险承受能力的产品或者接受相关服务的</w:t>
      </w:r>
      <w:r>
        <w:rPr>
          <w:rFonts w:hint="eastAsia" w:ascii="仿宋_GB2312" w:hAnsi="仿宋" w:eastAsia="仿宋_GB2312"/>
          <w:sz w:val="32"/>
          <w:szCs w:val="32"/>
          <w:lang w:val="en-US" w:eastAsia="zh-CN"/>
        </w:rPr>
        <w:t>要求履行相应义务。</w:t>
      </w:r>
    </w:p>
    <w:p w14:paraId="6AF95FA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val="en-US" w:eastAsia="zh-CN"/>
        </w:rPr>
        <w:t>产品与服务销售部门</w:t>
      </w:r>
      <w:r>
        <w:rPr>
          <w:rFonts w:hint="eastAsia" w:ascii="仿宋_GB2312" w:hAnsi="仿宋" w:eastAsia="仿宋_GB2312"/>
          <w:sz w:val="32"/>
          <w:szCs w:val="32"/>
        </w:rPr>
        <w:t>向普通投资者销售或提供高风险等级的产品或者服务时，应当履行以下适当性义务：</w:t>
      </w:r>
    </w:p>
    <w:p w14:paraId="79FFEC5E">
      <w:pPr>
        <w:pStyle w:val="16"/>
        <w:numPr>
          <w:ilvl w:val="0"/>
          <w:numId w:val="22"/>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追加了解</w:t>
      </w:r>
      <w:r>
        <w:rPr>
          <w:rFonts w:hint="eastAsia" w:ascii="仿宋_GB2312" w:hAnsi="仿宋" w:eastAsia="仿宋_GB2312"/>
          <w:sz w:val="32"/>
          <w:szCs w:val="32"/>
          <w:lang w:eastAsia="zh-CN"/>
        </w:rPr>
        <w:t>投资者</w:t>
      </w:r>
      <w:r>
        <w:rPr>
          <w:rFonts w:hint="eastAsia" w:ascii="仿宋_GB2312" w:hAnsi="仿宋" w:eastAsia="仿宋_GB2312"/>
          <w:sz w:val="32"/>
          <w:szCs w:val="32"/>
        </w:rPr>
        <w:t>的相关信息；</w:t>
      </w:r>
    </w:p>
    <w:p w14:paraId="3C3DABC1">
      <w:pPr>
        <w:pStyle w:val="16"/>
        <w:numPr>
          <w:ilvl w:val="0"/>
          <w:numId w:val="22"/>
        </w:numPr>
        <w:spacing w:line="560" w:lineRule="exact"/>
        <w:ind w:firstLine="64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签署《普通投资者购买高风险等级产品或者服务风险警示书》，并揭示该产品或者服务的高风险特征，由</w:t>
      </w:r>
      <w:r>
        <w:rPr>
          <w:rFonts w:hint="eastAsia" w:ascii="仿宋_GB2312" w:hAnsi="仿宋" w:eastAsia="仿宋_GB2312"/>
          <w:sz w:val="32"/>
          <w:szCs w:val="32"/>
          <w:lang w:eastAsia="zh-CN"/>
        </w:rPr>
        <w:t>投资者</w:t>
      </w:r>
      <w:r>
        <w:rPr>
          <w:rFonts w:hint="eastAsia" w:ascii="仿宋_GB2312" w:hAnsi="仿宋" w:eastAsia="仿宋_GB2312"/>
          <w:sz w:val="32"/>
          <w:szCs w:val="32"/>
        </w:rPr>
        <w:t>签字确认；</w:t>
      </w:r>
    </w:p>
    <w:p w14:paraId="3AD2A165">
      <w:pPr>
        <w:pStyle w:val="16"/>
        <w:numPr>
          <w:ilvl w:val="0"/>
          <w:numId w:val="22"/>
        </w:numPr>
        <w:spacing w:line="560" w:lineRule="exact"/>
        <w:ind w:firstLine="640"/>
        <w:rPr>
          <w:rFonts w:ascii="仿宋_GB2312" w:hAnsi="仿宋" w:eastAsia="仿宋_GB2312"/>
          <w:sz w:val="32"/>
          <w:szCs w:val="32"/>
        </w:rPr>
      </w:pPr>
      <w:r>
        <w:rPr>
          <w:rFonts w:hint="eastAsia" w:ascii="仿宋_GB2312" w:hAnsi="仿宋" w:eastAsia="仿宋_GB2312"/>
          <w:sz w:val="32"/>
          <w:szCs w:val="32"/>
        </w:rPr>
        <w:t>给予</w:t>
      </w:r>
      <w:r>
        <w:rPr>
          <w:rFonts w:hint="eastAsia" w:ascii="仿宋_GB2312" w:hAnsi="仿宋" w:eastAsia="仿宋_GB2312"/>
          <w:sz w:val="32"/>
          <w:szCs w:val="32"/>
          <w:lang w:eastAsia="zh-CN"/>
        </w:rPr>
        <w:t>投资者</w:t>
      </w:r>
      <w:r>
        <w:rPr>
          <w:rFonts w:hint="eastAsia" w:ascii="仿宋_GB2312" w:hAnsi="仿宋" w:eastAsia="仿宋_GB2312"/>
          <w:sz w:val="32"/>
          <w:szCs w:val="32"/>
        </w:rPr>
        <w:t>至少24小时的冷静期或至少增加一次回访告知特别风险。</w:t>
      </w:r>
    </w:p>
    <w:p w14:paraId="4BECDE68">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产品与服务销售部门应当告知</w:t>
      </w:r>
      <w:r>
        <w:rPr>
          <w:rFonts w:hint="eastAsia" w:ascii="仿宋_GB2312" w:hAnsi="仿宋" w:eastAsia="仿宋_GB2312"/>
          <w:sz w:val="32"/>
          <w:szCs w:val="32"/>
          <w:lang w:eastAsia="zh-CN"/>
        </w:rPr>
        <w:t>投资者</w:t>
      </w:r>
      <w:r>
        <w:rPr>
          <w:rFonts w:hint="eastAsia" w:ascii="仿宋_GB2312" w:hAnsi="仿宋" w:eastAsia="仿宋_GB2312"/>
          <w:sz w:val="32"/>
          <w:szCs w:val="32"/>
        </w:rPr>
        <w:t>其依据本办法第二十</w:t>
      </w:r>
      <w:r>
        <w:rPr>
          <w:rFonts w:hint="eastAsia" w:ascii="仿宋_GB2312" w:hAnsi="仿宋" w:eastAsia="仿宋_GB2312"/>
          <w:sz w:val="32"/>
          <w:szCs w:val="32"/>
          <w:lang w:val="en-US" w:eastAsia="zh-CN"/>
        </w:rPr>
        <w:t>四</w:t>
      </w:r>
      <w:r>
        <w:rPr>
          <w:rFonts w:hint="eastAsia" w:ascii="仿宋_GB2312" w:hAnsi="仿宋" w:eastAsia="仿宋_GB2312"/>
          <w:sz w:val="32"/>
          <w:szCs w:val="32"/>
        </w:rPr>
        <w:t>条规定所提供的信息发生重要变化，可能影响</w:t>
      </w:r>
      <w:r>
        <w:rPr>
          <w:rFonts w:hint="eastAsia" w:ascii="仿宋_GB2312" w:hAnsi="仿宋" w:eastAsia="仿宋_GB2312"/>
          <w:sz w:val="32"/>
          <w:szCs w:val="32"/>
          <w:lang w:eastAsia="zh-CN"/>
        </w:rPr>
        <w:t>投资者</w:t>
      </w:r>
      <w:r>
        <w:rPr>
          <w:rFonts w:hint="eastAsia" w:ascii="仿宋_GB2312" w:hAnsi="仿宋" w:eastAsia="仿宋_GB2312"/>
          <w:sz w:val="32"/>
          <w:szCs w:val="32"/>
        </w:rPr>
        <w:t>分类的，应当及时告知公司。产品与服务销售部门及时更新投资者评估数据库，充分使用已了解信息和已有评估结果，避免重复采集，提高评估效率。</w:t>
      </w:r>
    </w:p>
    <w:p w14:paraId="2629E94E">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产品与服务销售部门应当根据</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信息变化以及产品或者服务的分级变化情况，主动调整投资者分类以及适当性匹配意见，告知</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并以书面方式交</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签署确认并记载留存。若调整后适当性匹配意见由匹配变为不匹配，且</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继续坚持持有或购买原风险等级对应的产品或服务的，公司应当要求</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签署购买高于自身风险承受能力产品或服务风险警示书；</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拒绝签署的，公司可以不再继续为其提供新服务，</w:t>
      </w:r>
      <w:r>
        <w:rPr>
          <w:rFonts w:hint="eastAsia" w:ascii="仿宋_GB2312" w:hAnsi="仿宋" w:eastAsia="仿宋_GB2312"/>
          <w:bCs/>
          <w:sz w:val="32"/>
          <w:szCs w:val="32"/>
          <w:lang w:val="en-US" w:eastAsia="zh-CN"/>
        </w:rPr>
        <w:t>除监管机构另有规定外</w:t>
      </w:r>
      <w:r>
        <w:rPr>
          <w:rFonts w:hint="eastAsia" w:ascii="仿宋_GB2312" w:hAnsi="仿宋" w:eastAsia="仿宋_GB2312"/>
          <w:bCs/>
          <w:sz w:val="32"/>
          <w:szCs w:val="32"/>
        </w:rPr>
        <w:t>不关停原有服务。</w:t>
      </w:r>
    </w:p>
    <w:p w14:paraId="6263684F">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产品与服务管理部门应持续跟踪产品或信息服务变化情况，并相应调整产品或服务分级，确定分级调整的依据、方法、流程。</w:t>
      </w:r>
    </w:p>
    <w:p w14:paraId="01A9BC63">
      <w:pPr>
        <w:pStyle w:val="16"/>
        <w:numPr>
          <w:ilvl w:val="0"/>
          <w:numId w:val="1"/>
        </w:numPr>
        <w:spacing w:line="560" w:lineRule="exact"/>
        <w:ind w:left="0" w:firstLine="640"/>
        <w:rPr>
          <w:rFonts w:ascii="仿宋_GB2312" w:hAnsi="仿宋" w:eastAsia="仿宋_GB2312"/>
          <w:bCs/>
          <w:sz w:val="32"/>
          <w:szCs w:val="32"/>
        </w:rPr>
      </w:pPr>
      <w:r>
        <w:rPr>
          <w:rFonts w:hint="eastAsia" w:ascii="仿宋_GB2312" w:hAnsi="仿宋" w:eastAsia="仿宋_GB2312"/>
          <w:bCs/>
          <w:sz w:val="32"/>
          <w:szCs w:val="32"/>
          <w:lang w:val="en-US" w:eastAsia="zh-CN"/>
        </w:rPr>
        <w:t>投资者管理部门应制定对投资者风险承受能力后续评估的规定及要求，持续了解投资者信息变化情况，及时调整投资者风险承受能力等级</w:t>
      </w:r>
      <w:r>
        <w:rPr>
          <w:rFonts w:hint="eastAsia" w:ascii="仿宋_GB2312" w:hAnsi="仿宋" w:eastAsia="仿宋_GB2312"/>
          <w:bCs/>
          <w:sz w:val="32"/>
          <w:szCs w:val="32"/>
        </w:rPr>
        <w:t>。</w:t>
      </w:r>
    </w:p>
    <w:p w14:paraId="543339E2">
      <w:pPr>
        <w:pStyle w:val="16"/>
        <w:numPr>
          <w:ilvl w:val="-1"/>
          <w:numId w:val="0"/>
        </w:numPr>
        <w:spacing w:line="560" w:lineRule="exact"/>
        <w:ind w:left="0" w:firstLine="640"/>
        <w:rPr>
          <w:rFonts w:hint="eastAsia" w:ascii="仿宋_GB2312" w:hAnsi="仿宋" w:eastAsia="仿宋_GB2312"/>
          <w:bCs w:val="0"/>
          <w:sz w:val="32"/>
          <w:szCs w:val="32"/>
          <w:lang w:val="en-US" w:eastAsia="zh-CN"/>
        </w:rPr>
      </w:pPr>
      <w:r>
        <w:rPr>
          <w:rFonts w:hint="eastAsia" w:ascii="仿宋_GB2312" w:hAnsi="仿宋" w:eastAsia="仿宋_GB2312"/>
          <w:bCs w:val="0"/>
          <w:sz w:val="32"/>
          <w:szCs w:val="32"/>
        </w:rPr>
        <w:t>产品与服务销售部门应</w:t>
      </w:r>
      <w:r>
        <w:rPr>
          <w:rFonts w:hint="eastAsia" w:ascii="仿宋_GB2312" w:hAnsi="仿宋" w:eastAsia="仿宋_GB2312"/>
          <w:bCs w:val="0"/>
          <w:sz w:val="32"/>
          <w:szCs w:val="32"/>
          <w:lang w:val="en-US" w:eastAsia="zh-CN"/>
        </w:rPr>
        <w:t>根据各业务线的相关要求</w:t>
      </w:r>
      <w:r>
        <w:rPr>
          <w:rFonts w:hint="eastAsia" w:ascii="仿宋_GB2312" w:hAnsi="仿宋" w:eastAsia="仿宋_GB2312"/>
          <w:bCs w:val="0"/>
          <w:sz w:val="32"/>
          <w:szCs w:val="32"/>
        </w:rPr>
        <w:t>对</w:t>
      </w:r>
      <w:r>
        <w:rPr>
          <w:rFonts w:hint="eastAsia" w:ascii="仿宋_GB2312" w:hAnsi="仿宋" w:eastAsia="仿宋_GB2312"/>
          <w:bCs w:val="0"/>
          <w:sz w:val="32"/>
          <w:szCs w:val="32"/>
          <w:lang w:eastAsia="zh-CN"/>
        </w:rPr>
        <w:t>投资者</w:t>
      </w:r>
      <w:r>
        <w:rPr>
          <w:rFonts w:hint="eastAsia" w:ascii="仿宋_GB2312" w:hAnsi="仿宋" w:eastAsia="仿宋_GB2312"/>
          <w:bCs w:val="0"/>
          <w:sz w:val="32"/>
          <w:szCs w:val="32"/>
        </w:rPr>
        <w:t>进行风险承受能力的后续评估，并及时采集或更新</w:t>
      </w:r>
      <w:r>
        <w:rPr>
          <w:rFonts w:hint="eastAsia" w:ascii="仿宋_GB2312" w:hAnsi="仿宋" w:eastAsia="仿宋_GB2312"/>
          <w:bCs w:val="0"/>
          <w:sz w:val="32"/>
          <w:szCs w:val="32"/>
          <w:lang w:eastAsia="zh-CN"/>
        </w:rPr>
        <w:t>投资者</w:t>
      </w:r>
      <w:r>
        <w:rPr>
          <w:rFonts w:hint="eastAsia" w:ascii="仿宋_GB2312" w:hAnsi="仿宋" w:eastAsia="仿宋_GB2312"/>
          <w:bCs w:val="0"/>
          <w:sz w:val="32"/>
          <w:szCs w:val="32"/>
        </w:rPr>
        <w:t>评估信息</w:t>
      </w:r>
      <w:r>
        <w:rPr>
          <w:rFonts w:hint="eastAsia" w:ascii="仿宋_GB2312" w:hAnsi="仿宋" w:eastAsia="仿宋_GB2312"/>
          <w:bCs w:val="0"/>
          <w:sz w:val="32"/>
          <w:szCs w:val="32"/>
          <w:lang w:val="en-US" w:eastAsia="zh-CN"/>
        </w:rPr>
        <w:t>。</w:t>
      </w:r>
    </w:p>
    <w:p w14:paraId="16755921">
      <w:pPr>
        <w:pStyle w:val="16"/>
        <w:numPr>
          <w:ilvl w:val="0"/>
          <w:numId w:val="1"/>
        </w:numPr>
        <w:spacing w:line="560" w:lineRule="exact"/>
        <w:ind w:left="0" w:firstLine="640"/>
        <w:rPr>
          <w:rFonts w:ascii="仿宋_GB2312" w:hAnsi="仿宋" w:eastAsia="仿宋_GB2312"/>
          <w:bCs/>
          <w:sz w:val="32"/>
          <w:szCs w:val="32"/>
        </w:rPr>
      </w:pP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在后续评估中出现风险等级降低、无法联系</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拒绝对评估结果签字确定等问题公司可以不再继续为该投资者提供新服务，但不关停原有服务。</w:t>
      </w:r>
    </w:p>
    <w:p w14:paraId="355C3667">
      <w:pPr>
        <w:pStyle w:val="16"/>
        <w:numPr>
          <w:ilvl w:val="0"/>
          <w:numId w:val="1"/>
        </w:numPr>
        <w:spacing w:line="560" w:lineRule="exact"/>
        <w:ind w:left="0" w:firstLine="640"/>
        <w:rPr>
          <w:rFonts w:ascii="仿宋_GB2312" w:hAnsi="仿宋" w:eastAsia="仿宋_GB2312"/>
          <w:sz w:val="32"/>
          <w:szCs w:val="32"/>
          <w:highlight w:val="none"/>
        </w:rPr>
      </w:pPr>
      <w:r>
        <w:rPr>
          <w:rFonts w:hint="eastAsia" w:ascii="仿宋_GB2312" w:hAnsi="仿宋" w:eastAsia="仿宋_GB2312"/>
          <w:sz w:val="32"/>
          <w:szCs w:val="32"/>
          <w:highlight w:val="none"/>
        </w:rPr>
        <w:t>公司代销其他机构发行的产品或者提供相关服务，应当要求其他机构提供划分产品或者服务风险等级因素等相关信息，</w:t>
      </w:r>
      <w:r>
        <w:rPr>
          <w:rFonts w:hint="eastAsia" w:ascii="仿宋_GB2312" w:hAnsi="仿宋" w:eastAsia="仿宋_GB2312"/>
          <w:sz w:val="32"/>
          <w:szCs w:val="32"/>
          <w:highlight w:val="none"/>
          <w:lang w:val="en-US" w:eastAsia="zh-CN"/>
        </w:rPr>
        <w:t>并</w:t>
      </w:r>
      <w:r>
        <w:rPr>
          <w:rFonts w:hint="eastAsia" w:ascii="仿宋_GB2312" w:hAnsi="仿宋" w:eastAsia="仿宋_GB2312"/>
          <w:sz w:val="32"/>
          <w:szCs w:val="32"/>
          <w:highlight w:val="none"/>
        </w:rPr>
        <w:t>履行投资者评估、适当性匹配等适当性义务。其他机构不提供信息或提供信息不完整的，公司不得代销其产品或者提供服务。</w:t>
      </w:r>
    </w:p>
    <w:p w14:paraId="194F4AF2">
      <w:pPr>
        <w:pStyle w:val="16"/>
        <w:numPr>
          <w:ilvl w:val="0"/>
          <w:numId w:val="1"/>
        </w:numPr>
        <w:spacing w:line="560" w:lineRule="exact"/>
        <w:ind w:left="0" w:firstLine="640"/>
        <w:rPr>
          <w:rFonts w:ascii="仿宋_GB2312" w:hAnsi="仿宋" w:eastAsia="仿宋_GB2312"/>
          <w:bCs/>
          <w:sz w:val="32"/>
          <w:szCs w:val="32"/>
        </w:rPr>
      </w:pPr>
      <w:r>
        <w:rPr>
          <w:rFonts w:hint="eastAsia" w:ascii="仿宋_GB2312" w:hAnsi="仿宋" w:eastAsia="仿宋_GB2312"/>
          <w:sz w:val="32"/>
          <w:szCs w:val="32"/>
          <w:highlight w:val="none"/>
        </w:rPr>
        <w:t>公司委托其他机构销售本公司发行的产品或者提供服务，产品与服务管理部门</w:t>
      </w:r>
      <w:r>
        <w:rPr>
          <w:rFonts w:hint="eastAsia" w:ascii="仿宋_GB2312" w:hAnsi="仿宋" w:eastAsia="仿宋_GB2312"/>
          <w:sz w:val="32"/>
          <w:szCs w:val="32"/>
        </w:rPr>
        <w:t>应履行以下职责：</w:t>
      </w:r>
    </w:p>
    <w:p w14:paraId="1EC7386E">
      <w:pPr>
        <w:pStyle w:val="16"/>
        <w:numPr>
          <w:ilvl w:val="0"/>
          <w:numId w:val="23"/>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做好受托机构的准入管理，</w:t>
      </w:r>
      <w:r>
        <w:rPr>
          <w:rFonts w:hint="eastAsia" w:ascii="仿宋_GB2312" w:hAnsi="仿宋" w:eastAsia="仿宋_GB2312"/>
          <w:sz w:val="32"/>
          <w:szCs w:val="32"/>
          <w:highlight w:val="none"/>
        </w:rPr>
        <w:t>确认受托机构具备销售相关产品或提供服务的资格</w:t>
      </w:r>
      <w:r>
        <w:rPr>
          <w:rFonts w:hint="eastAsia" w:ascii="仿宋_GB2312" w:hAnsi="仿宋" w:eastAsia="仿宋_GB2312"/>
          <w:sz w:val="32"/>
          <w:szCs w:val="32"/>
        </w:rPr>
        <w:t>、具有完善的适当性销售内控制度管理体系、</w:t>
      </w:r>
      <w:r>
        <w:rPr>
          <w:rFonts w:hint="eastAsia" w:ascii="仿宋_GB2312" w:hAnsi="仿宋" w:eastAsia="仿宋_GB2312"/>
          <w:sz w:val="32"/>
          <w:szCs w:val="32"/>
          <w:highlight w:val="none"/>
        </w:rPr>
        <w:t>落实适当性义务要求</w:t>
      </w:r>
      <w:r>
        <w:rPr>
          <w:rFonts w:hint="eastAsia" w:ascii="仿宋_GB2312" w:hAnsi="仿宋" w:eastAsia="仿宋_GB2312"/>
          <w:sz w:val="32"/>
          <w:szCs w:val="32"/>
        </w:rPr>
        <w:t>的</w:t>
      </w:r>
      <w:r>
        <w:rPr>
          <w:rFonts w:hint="eastAsia" w:ascii="仿宋_GB2312" w:hAnsi="仿宋" w:eastAsia="仿宋_GB2312"/>
          <w:sz w:val="32"/>
          <w:szCs w:val="32"/>
          <w:highlight w:val="none"/>
        </w:rPr>
        <w:t>能力</w:t>
      </w:r>
      <w:r>
        <w:rPr>
          <w:rFonts w:hint="eastAsia" w:ascii="仿宋_GB2312" w:hAnsi="仿宋" w:eastAsia="仿宋_GB2312"/>
          <w:sz w:val="32"/>
          <w:szCs w:val="32"/>
          <w:lang w:val="en-US" w:eastAsia="zh-CN"/>
        </w:rPr>
        <w:t>；</w:t>
      </w:r>
      <w:r>
        <w:rPr>
          <w:rFonts w:hint="eastAsia" w:ascii="仿宋_GB2312" w:hAnsi="仿宋" w:eastAsia="仿宋_GB2312"/>
          <w:sz w:val="32"/>
          <w:szCs w:val="32"/>
        </w:rPr>
        <w:t xml:space="preserve"> </w:t>
      </w:r>
      <w:r>
        <w:rPr>
          <w:rFonts w:ascii="仿宋_GB2312" w:hAnsi="仿宋" w:eastAsia="仿宋_GB2312"/>
          <w:sz w:val="32"/>
          <w:szCs w:val="32"/>
        </w:rPr>
        <w:t xml:space="preserve"> </w:t>
      </w:r>
    </w:p>
    <w:p w14:paraId="5EF56D5C">
      <w:pPr>
        <w:pStyle w:val="16"/>
        <w:numPr>
          <w:ilvl w:val="0"/>
          <w:numId w:val="0"/>
        </w:numPr>
        <w:spacing w:line="560" w:lineRule="exact"/>
        <w:ind w:left="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（二）通过书面或电子等留痕方式</w:t>
      </w:r>
      <w:r>
        <w:rPr>
          <w:rFonts w:hint="eastAsia" w:ascii="仿宋_GB2312" w:hAnsi="仿宋" w:eastAsia="仿宋_GB2312"/>
          <w:sz w:val="32"/>
          <w:szCs w:val="32"/>
          <w:highlight w:val="none"/>
        </w:rPr>
        <w:t>将</w:t>
      </w:r>
      <w:r>
        <w:rPr>
          <w:rFonts w:hint="eastAsia" w:ascii="仿宋_GB2312" w:hAnsi="仿宋" w:eastAsia="仿宋_GB2312"/>
          <w:sz w:val="32"/>
          <w:szCs w:val="32"/>
        </w:rPr>
        <w:t>委托代销的产品的信息、适当性标准和要求</w:t>
      </w:r>
      <w:r>
        <w:rPr>
          <w:rFonts w:hint="eastAsia" w:ascii="仿宋_GB2312" w:hAnsi="仿宋" w:eastAsia="仿宋_GB2312"/>
          <w:sz w:val="32"/>
          <w:szCs w:val="32"/>
          <w:highlight w:val="none"/>
        </w:rPr>
        <w:t>告知</w:t>
      </w:r>
      <w:r>
        <w:rPr>
          <w:rFonts w:hint="eastAsia" w:ascii="仿宋_GB2312" w:hAnsi="仿宋" w:eastAsia="仿宋_GB2312"/>
          <w:sz w:val="32"/>
          <w:szCs w:val="32"/>
        </w:rPr>
        <w:t>受托机构</w:t>
      </w:r>
      <w:r>
        <w:rPr>
          <w:rFonts w:hint="eastAsia" w:ascii="仿宋_GB2312" w:hAnsi="仿宋" w:eastAsia="仿宋_GB2312"/>
          <w:sz w:val="32"/>
          <w:szCs w:val="32"/>
          <w:highlight w:val="none"/>
        </w:rPr>
        <w:t>，</w:t>
      </w:r>
      <w:r>
        <w:rPr>
          <w:rFonts w:hint="eastAsia" w:ascii="仿宋_GB2312" w:hAnsi="仿宋" w:eastAsia="仿宋_GB2312"/>
          <w:sz w:val="32"/>
          <w:szCs w:val="32"/>
        </w:rPr>
        <w:t>要求其履行投资者适当性管理职责</w:t>
      </w:r>
      <w:r>
        <w:rPr>
          <w:rFonts w:hint="eastAsia" w:ascii="仿宋_GB2312" w:hAnsi="仿宋" w:eastAsia="仿宋_GB2312"/>
          <w:sz w:val="32"/>
          <w:szCs w:val="32"/>
          <w:lang w:val="en-US" w:eastAsia="zh-CN"/>
        </w:rPr>
        <w:t>；</w:t>
      </w:r>
    </w:p>
    <w:p w14:paraId="7D63AEEE">
      <w:pPr>
        <w:pStyle w:val="16"/>
        <w:numPr>
          <w:ilvl w:val="0"/>
          <w:numId w:val="0"/>
        </w:numPr>
        <w:spacing w:line="560" w:lineRule="exact"/>
        <w:ind w:left="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（三）建立对受托机构的持续管理机制，加强对受托机构适当性落实情况的跟踪监督</w:t>
      </w:r>
      <w:r>
        <w:rPr>
          <w:rFonts w:hint="eastAsia" w:ascii="仿宋_GB2312" w:hAnsi="仿宋" w:eastAsia="仿宋_GB2312"/>
          <w:sz w:val="32"/>
          <w:szCs w:val="32"/>
          <w:lang w:val="en-US" w:eastAsia="zh-CN"/>
        </w:rPr>
        <w:t>；</w:t>
      </w:r>
    </w:p>
    <w:p w14:paraId="22315C53">
      <w:pPr>
        <w:pStyle w:val="16"/>
        <w:numPr>
          <w:ilvl w:val="0"/>
          <w:numId w:val="0"/>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仿宋" w:eastAsia="仿宋_GB2312"/>
          <w:sz w:val="32"/>
          <w:szCs w:val="32"/>
          <w:highlight w:val="none"/>
        </w:rPr>
        <w:t>法律、行政法规、中国证监会规章另有规定的除外。</w:t>
      </w:r>
    </w:p>
    <w:p w14:paraId="7493DD7F">
      <w:pPr>
        <w:pStyle w:val="16"/>
        <w:numPr>
          <w:ilvl w:val="0"/>
          <w:numId w:val="0"/>
        </w:numPr>
        <w:spacing w:line="560" w:lineRule="exact"/>
        <w:ind w:left="0" w:firstLine="0" w:firstLineChars="0"/>
        <w:rPr>
          <w:rFonts w:hint="eastAsia" w:ascii="仿宋_GB2312" w:hAnsi="仿宋" w:eastAsia="仿宋_GB2312"/>
          <w:bCs/>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p>
    <w:p w14:paraId="1FF62231">
      <w:pPr>
        <w:pStyle w:val="16"/>
        <w:spacing w:line="560" w:lineRule="exact"/>
        <w:ind w:firstLine="640"/>
        <w:jc w:val="center"/>
        <w:rPr>
          <w:rFonts w:ascii="黑体" w:hAnsi="黑体" w:eastAsia="黑体"/>
          <w:sz w:val="32"/>
          <w:szCs w:val="32"/>
        </w:rPr>
      </w:pPr>
      <w:r>
        <w:rPr>
          <w:rFonts w:hint="eastAsia" w:ascii="黑体" w:hAnsi="黑体" w:eastAsia="黑体"/>
          <w:sz w:val="32"/>
          <w:szCs w:val="32"/>
        </w:rPr>
        <w:t>第七章  保障性措施</w:t>
      </w:r>
    </w:p>
    <w:p w14:paraId="33F8055A">
      <w:pPr>
        <w:pStyle w:val="16"/>
        <w:spacing w:line="560" w:lineRule="exact"/>
        <w:ind w:firstLine="640"/>
        <w:jc w:val="center"/>
        <w:rPr>
          <w:rFonts w:ascii="黑体" w:hAnsi="黑体" w:eastAsia="黑体"/>
          <w:sz w:val="32"/>
          <w:szCs w:val="32"/>
        </w:rPr>
      </w:pPr>
      <w:r>
        <w:rPr>
          <w:rFonts w:hint="eastAsia" w:ascii="黑体" w:hAnsi="黑体" w:eastAsia="黑体"/>
          <w:sz w:val="32"/>
          <w:szCs w:val="32"/>
        </w:rPr>
        <w:t>第一节  培训</w:t>
      </w:r>
    </w:p>
    <w:p w14:paraId="6BA1C07D">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公司风控合规部、</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管理部门、产品与服务管理部门、产品与服务销售等部门应当以现场培训或视频培训的方式开展相关岗位人员的适当性管理培训工作。</w:t>
      </w:r>
    </w:p>
    <w:p w14:paraId="73DFFB44">
      <w:pPr>
        <w:pStyle w:val="16"/>
        <w:numPr>
          <w:ilvl w:val="-1"/>
          <w:numId w:val="0"/>
        </w:numPr>
        <w:spacing w:line="560" w:lineRule="exact"/>
        <w:ind w:left="0" w:leftChars="0" w:firstLine="640"/>
        <w:rPr>
          <w:rFonts w:ascii="仿宋_GB2312" w:hAnsi="仿宋" w:eastAsia="仿宋_GB2312"/>
          <w:sz w:val="32"/>
          <w:szCs w:val="32"/>
        </w:rPr>
      </w:pPr>
      <w:r>
        <w:rPr>
          <w:rFonts w:hint="eastAsia" w:ascii="仿宋_GB2312" w:hAnsi="仿宋" w:eastAsia="仿宋_GB2312"/>
          <w:bCs/>
          <w:sz w:val="32"/>
          <w:szCs w:val="32"/>
        </w:rPr>
        <w:t>适当性管理培训分为专项业务培训、日常定期培训，具体内容包括但不限于：相关法律法规及公司制度、</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适当性管理流程及标准、业务办理流程及标准、禁止的销售行为、</w:t>
      </w:r>
      <w:r>
        <w:rPr>
          <w:rFonts w:hint="eastAsia" w:ascii="仿宋_GB2312" w:hAnsi="仿宋" w:eastAsia="仿宋_GB2312"/>
          <w:sz w:val="32"/>
          <w:szCs w:val="32"/>
        </w:rPr>
        <w:t>产品或服务的结构与风险特征、适销对象等，提高员工履行投资者适当性管理职责的技能与意识。定期培训至少每年开展一次。</w:t>
      </w:r>
    </w:p>
    <w:p w14:paraId="22CEAE88">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公司各</w:t>
      </w:r>
      <w:r>
        <w:rPr>
          <w:rFonts w:hint="eastAsia" w:ascii="仿宋_GB2312" w:hAnsi="仿宋" w:eastAsia="仿宋_GB2312"/>
          <w:sz w:val="32"/>
          <w:szCs w:val="32"/>
          <w:lang w:val="en-US" w:eastAsia="zh-CN"/>
        </w:rPr>
        <w:t>相关部门</w:t>
      </w:r>
      <w:r>
        <w:rPr>
          <w:rFonts w:hint="eastAsia" w:ascii="仿宋_GB2312" w:hAnsi="仿宋" w:eastAsia="仿宋_GB2312"/>
          <w:sz w:val="32"/>
          <w:szCs w:val="32"/>
        </w:rPr>
        <w:t>应对专项业务培训、日常定期培训设立考核标准，对考试未通过的员工应当进行强化培训。</w:t>
      </w:r>
    </w:p>
    <w:p w14:paraId="4C6DD517">
      <w:pPr>
        <w:pStyle w:val="16"/>
        <w:numPr>
          <w:ilvl w:val="0"/>
          <w:numId w:val="1"/>
        </w:numPr>
        <w:spacing w:line="560" w:lineRule="exact"/>
        <w:ind w:left="0" w:firstLine="640" w:firstLineChars="0"/>
        <w:rPr>
          <w:rFonts w:ascii="仿宋_GB2312" w:hAnsi="仿宋" w:eastAsia="仿宋_GB2312"/>
          <w:bCs/>
          <w:sz w:val="32"/>
          <w:szCs w:val="32"/>
        </w:rPr>
      </w:pPr>
      <w:r>
        <w:rPr>
          <w:rFonts w:hint="eastAsia" w:ascii="仿宋_GB2312" w:hAnsi="仿宋" w:eastAsia="仿宋_GB2312"/>
          <w:sz w:val="32"/>
          <w:szCs w:val="32"/>
        </w:rPr>
        <w:t>公司各相关部门应当妥善保存培训资料，包括培训计划、培训记录、培训课件、考核结果等。</w:t>
      </w:r>
    </w:p>
    <w:p w14:paraId="00E7A030">
      <w:pPr>
        <w:spacing w:line="560" w:lineRule="exact"/>
        <w:ind w:firstLine="640" w:firstLineChars="200"/>
        <w:jc w:val="center"/>
        <w:rPr>
          <w:rFonts w:ascii="黑体" w:hAnsi="黑体" w:eastAsia="黑体"/>
          <w:sz w:val="32"/>
          <w:szCs w:val="32"/>
        </w:rPr>
      </w:pPr>
      <w:r>
        <w:rPr>
          <w:rFonts w:hint="eastAsia" w:ascii="黑体" w:hAnsi="黑体" w:eastAsia="黑体"/>
          <w:bCs/>
          <w:sz w:val="32"/>
          <w:szCs w:val="32"/>
        </w:rPr>
        <w:t>第二节  回访</w:t>
      </w:r>
    </w:p>
    <w:p w14:paraId="2CEB0671">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公司客户服务部及</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管理部门制定各</w:t>
      </w:r>
      <w:r>
        <w:rPr>
          <w:rFonts w:hint="eastAsia" w:ascii="仿宋_GB2312" w:hAnsi="仿宋" w:eastAsia="仿宋_GB2312"/>
          <w:sz w:val="32"/>
          <w:szCs w:val="32"/>
          <w:lang w:val="en-US" w:eastAsia="zh-CN"/>
        </w:rPr>
        <w:t>业务线</w:t>
      </w:r>
      <w:r>
        <w:rPr>
          <w:rFonts w:hint="eastAsia" w:ascii="仿宋_GB2312" w:hAnsi="仿宋" w:eastAsia="仿宋_GB2312"/>
          <w:sz w:val="32"/>
          <w:szCs w:val="32"/>
        </w:rPr>
        <w:t>的回访制度及业务流程，回访制度中应明确回访对象、回访内容、回访</w:t>
      </w:r>
      <w:r>
        <w:rPr>
          <w:rFonts w:hint="eastAsia" w:ascii="仿宋_GB2312" w:hAnsi="仿宋" w:eastAsia="仿宋_GB2312"/>
          <w:sz w:val="32"/>
          <w:szCs w:val="32"/>
          <w:lang w:val="en-US" w:eastAsia="zh-CN"/>
        </w:rPr>
        <w:t>方式</w:t>
      </w:r>
      <w:r>
        <w:rPr>
          <w:rFonts w:hint="eastAsia" w:ascii="仿宋_GB2312" w:hAnsi="仿宋" w:eastAsia="仿宋_GB2312"/>
          <w:sz w:val="32"/>
          <w:szCs w:val="32"/>
        </w:rPr>
        <w:t>，明确回访中发现问题的处理方式及回访失败</w:t>
      </w:r>
      <w:r>
        <w:rPr>
          <w:rFonts w:hint="eastAsia" w:ascii="仿宋_GB2312" w:hAnsi="仿宋" w:eastAsia="仿宋_GB2312"/>
          <w:sz w:val="32"/>
          <w:szCs w:val="32"/>
          <w:lang w:eastAsia="zh-CN"/>
        </w:rPr>
        <w:t>投资者</w:t>
      </w:r>
      <w:r>
        <w:rPr>
          <w:rFonts w:hint="eastAsia" w:ascii="仿宋_GB2312" w:hAnsi="仿宋" w:eastAsia="仿宋_GB2312"/>
          <w:sz w:val="32"/>
          <w:szCs w:val="32"/>
        </w:rPr>
        <w:t>的持续跟踪。</w:t>
      </w:r>
    </w:p>
    <w:p w14:paraId="13F88F4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公司客户服务部及</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管理部门负责</w:t>
      </w:r>
      <w:r>
        <w:rPr>
          <w:rFonts w:hint="eastAsia" w:ascii="仿宋_GB2312" w:hAnsi="仿宋" w:eastAsia="仿宋_GB2312"/>
          <w:sz w:val="32"/>
          <w:szCs w:val="32"/>
          <w:lang w:eastAsia="zh-CN"/>
        </w:rPr>
        <w:t>投资者</w:t>
      </w:r>
      <w:r>
        <w:rPr>
          <w:rFonts w:hint="eastAsia" w:ascii="仿宋_GB2312" w:hAnsi="仿宋" w:eastAsia="仿宋_GB2312"/>
          <w:sz w:val="32"/>
          <w:szCs w:val="32"/>
        </w:rPr>
        <w:t>适当性回访工作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每年抽取不低于上一年度末购买产品或接受服务的投资者总数（不含休眠账户及销户账户）的10%</w:t>
      </w:r>
      <w:r>
        <w:rPr>
          <w:rFonts w:hint="eastAsia" w:ascii="仿宋_GB2312" w:hAnsi="仿宋" w:eastAsia="仿宋_GB2312"/>
          <w:sz w:val="32"/>
          <w:szCs w:val="32"/>
        </w:rPr>
        <w:t>，对员工适当性展业行为及</w:t>
      </w:r>
      <w:r>
        <w:rPr>
          <w:rFonts w:hint="eastAsia" w:ascii="仿宋_GB2312" w:hAnsi="仿宋" w:eastAsia="仿宋_GB2312"/>
          <w:sz w:val="32"/>
          <w:szCs w:val="32"/>
          <w:lang w:eastAsia="zh-CN"/>
        </w:rPr>
        <w:t>投资者</w:t>
      </w:r>
      <w:r>
        <w:rPr>
          <w:rFonts w:hint="eastAsia" w:ascii="仿宋_GB2312" w:hAnsi="仿宋" w:eastAsia="仿宋_GB2312"/>
          <w:sz w:val="32"/>
          <w:szCs w:val="32"/>
        </w:rPr>
        <w:t>购买产品情况进行回访。回访方式包括但不限于电话回访、邮件回访、短信回访等</w:t>
      </w:r>
      <w:r>
        <w:rPr>
          <w:rFonts w:hint="eastAsia" w:ascii="仿宋_GB2312" w:hAnsi="仿宋" w:eastAsia="仿宋_GB2312"/>
          <w:sz w:val="32"/>
          <w:szCs w:val="32"/>
          <w:lang w:val="en-US" w:eastAsia="zh-CN"/>
        </w:rPr>
        <w:t>适当</w:t>
      </w:r>
      <w:r>
        <w:rPr>
          <w:rFonts w:hint="eastAsia" w:ascii="仿宋_GB2312" w:hAnsi="仿宋" w:eastAsia="仿宋_GB2312"/>
          <w:sz w:val="32"/>
          <w:szCs w:val="32"/>
        </w:rPr>
        <w:t>方式。</w:t>
      </w:r>
    </w:p>
    <w:p w14:paraId="6800E2A8">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对于下列普通投资者，各回访部门必须对</w:t>
      </w:r>
      <w:r>
        <w:rPr>
          <w:rFonts w:hint="eastAsia" w:ascii="仿宋_GB2312" w:hAnsi="仿宋" w:eastAsia="仿宋_GB2312"/>
          <w:sz w:val="32"/>
          <w:szCs w:val="32"/>
          <w:lang w:eastAsia="zh-CN"/>
        </w:rPr>
        <w:t>投资者</w:t>
      </w:r>
      <w:r>
        <w:rPr>
          <w:rFonts w:hint="eastAsia" w:ascii="仿宋_GB2312" w:hAnsi="仿宋" w:eastAsia="仿宋_GB2312"/>
          <w:sz w:val="32"/>
          <w:szCs w:val="32"/>
        </w:rPr>
        <w:t>进行适当性回访工作：</w:t>
      </w:r>
    </w:p>
    <w:p w14:paraId="6782E067">
      <w:pPr>
        <w:pStyle w:val="16"/>
        <w:numPr>
          <w:ilvl w:val="0"/>
          <w:numId w:val="2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生活来源主要依靠积蓄或社会保障的；</w:t>
      </w:r>
    </w:p>
    <w:p w14:paraId="18F11FB1">
      <w:pPr>
        <w:pStyle w:val="16"/>
        <w:numPr>
          <w:ilvl w:val="0"/>
          <w:numId w:val="2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购买或接受高风险产品或服务的；</w:t>
      </w:r>
    </w:p>
    <w:p w14:paraId="4AF3D035">
      <w:pPr>
        <w:pStyle w:val="16"/>
        <w:numPr>
          <w:ilvl w:val="0"/>
          <w:numId w:val="24"/>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中国证监会、自律组织和公司认为必要的其他投资者。</w:t>
      </w:r>
    </w:p>
    <w:p w14:paraId="26A6C429">
      <w:pPr>
        <w:pStyle w:val="16"/>
        <w:spacing w:line="560" w:lineRule="exact"/>
        <w:ind w:firstLine="640"/>
        <w:jc w:val="center"/>
        <w:rPr>
          <w:rFonts w:ascii="黑体" w:hAnsi="黑体" w:eastAsia="黑体"/>
          <w:sz w:val="32"/>
          <w:szCs w:val="32"/>
        </w:rPr>
      </w:pPr>
      <w:r>
        <w:rPr>
          <w:rFonts w:hint="eastAsia" w:ascii="黑体" w:hAnsi="黑体" w:eastAsia="黑体"/>
          <w:sz w:val="32"/>
          <w:szCs w:val="32"/>
        </w:rPr>
        <w:t>第三节  员工行为管理</w:t>
      </w:r>
    </w:p>
    <w:p w14:paraId="6FAB6BB7">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lang w:val="en-US" w:eastAsia="zh-CN"/>
        </w:rPr>
        <w:t>公司</w:t>
      </w:r>
      <w:r>
        <w:rPr>
          <w:rFonts w:hint="eastAsia" w:ascii="仿宋_GB2312" w:hAnsi="仿宋" w:eastAsia="仿宋_GB2312"/>
          <w:sz w:val="32"/>
          <w:szCs w:val="32"/>
          <w:lang w:val="en-US" w:eastAsia="zh-CN"/>
        </w:rPr>
        <w:t>各部门、分支机构将投资者适当性管理工作开展情况列入部门及分支机构绩效评估中</w:t>
      </w:r>
      <w:r>
        <w:rPr>
          <w:rFonts w:hint="eastAsia" w:ascii="仿宋_GB2312" w:hAnsi="仿宋" w:eastAsia="仿宋_GB2312"/>
          <w:sz w:val="32"/>
          <w:szCs w:val="32"/>
        </w:rPr>
        <w:t>。</w:t>
      </w:r>
    </w:p>
    <w:p w14:paraId="6329347F">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产品与服务的管理、销售部门不得采取可能鼓励员工向</w:t>
      </w:r>
      <w:r>
        <w:rPr>
          <w:rFonts w:hint="eastAsia" w:ascii="仿宋_GB2312" w:hAnsi="仿宋" w:eastAsia="仿宋_GB2312"/>
          <w:sz w:val="32"/>
          <w:szCs w:val="32"/>
          <w:lang w:eastAsia="zh-CN"/>
        </w:rPr>
        <w:t>投资者</w:t>
      </w:r>
      <w:r>
        <w:rPr>
          <w:rFonts w:hint="eastAsia" w:ascii="仿宋_GB2312" w:hAnsi="仿宋" w:eastAsia="仿宋_GB2312"/>
          <w:sz w:val="32"/>
          <w:szCs w:val="32"/>
        </w:rPr>
        <w:t>销售不适当金融产品或提供不适当金融服务的考核、激励机制或措施。</w:t>
      </w:r>
    </w:p>
    <w:p w14:paraId="5312A6AA">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风控合规部应当对相关岗位工作人员履行适当性工作职责的执业行为实施监督，对违反《证券期货投资者适当性管理办法》、公司投资者适当性制度的人员，应按规定进行问责。</w:t>
      </w:r>
    </w:p>
    <w:p w14:paraId="41DDE1F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公司各</w:t>
      </w:r>
      <w:r>
        <w:rPr>
          <w:rFonts w:hint="eastAsia" w:ascii="仿宋_GB2312" w:hAnsi="仿宋" w:eastAsia="仿宋_GB2312"/>
          <w:sz w:val="32"/>
          <w:szCs w:val="32"/>
        </w:rPr>
        <w:t>部门、分支机构或员工存在下列行为之一的，公司视情节轻重，给予警告、通报批评、记过、经济处罚、扣除部分工资、降级、开除等处分</w:t>
      </w:r>
      <w:r>
        <w:rPr>
          <w:rFonts w:hint="eastAsia" w:ascii="仿宋_GB2312" w:hAnsi="仿宋" w:eastAsia="仿宋_GB2312"/>
          <w:sz w:val="32"/>
          <w:szCs w:val="32"/>
          <w:lang w:val="en-US" w:eastAsia="zh-CN"/>
        </w:rPr>
        <w:t>或问责</w:t>
      </w:r>
      <w:r>
        <w:rPr>
          <w:rFonts w:hint="eastAsia" w:ascii="仿宋_GB2312" w:hAnsi="仿宋" w:eastAsia="仿宋_GB2312"/>
          <w:sz w:val="32"/>
          <w:szCs w:val="32"/>
        </w:rPr>
        <w:t>：</w:t>
      </w:r>
    </w:p>
    <w:p w14:paraId="0D48999C">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违反监管要求和公司投资者适当性管理规章制度，给公司造成经济损失或不良影响的；</w:t>
      </w:r>
    </w:p>
    <w:p w14:paraId="6C656096">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不履行投资者适当性规定职责或者因缺乏责任心、玩忽职守而造成较大工作失误的；</w:t>
      </w:r>
    </w:p>
    <w:p w14:paraId="73B0895D">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受到监管部门等的批评或处罚的；</w:t>
      </w:r>
    </w:p>
    <w:p w14:paraId="08469A70">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对公司适当性管理工作相关重大问题故意隐瞒不报，造成不良后果和影响的；</w:t>
      </w:r>
    </w:p>
    <w:p w14:paraId="651DF964">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对外部监管部门及公司内部稽核审计部门提出适当性工作合理意见不及时进行整改的；</w:t>
      </w:r>
    </w:p>
    <w:p w14:paraId="6C3160F7">
      <w:pPr>
        <w:pStyle w:val="16"/>
        <w:numPr>
          <w:ilvl w:val="0"/>
          <w:numId w:val="25"/>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有其他违法违规行为，应予以处罚的。</w:t>
      </w:r>
    </w:p>
    <w:p w14:paraId="37B9A342">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公司员工在</w:t>
      </w:r>
      <w:r>
        <w:rPr>
          <w:rFonts w:hint="eastAsia" w:ascii="仿宋_GB2312" w:hAnsi="仿宋" w:eastAsia="仿宋_GB2312"/>
          <w:sz w:val="32"/>
          <w:szCs w:val="32"/>
          <w:lang w:eastAsia="zh-CN"/>
        </w:rPr>
        <w:t>投资者</w:t>
      </w:r>
      <w:r>
        <w:rPr>
          <w:rFonts w:hint="eastAsia" w:ascii="仿宋_GB2312" w:hAnsi="仿宋" w:eastAsia="仿宋_GB2312"/>
          <w:sz w:val="32"/>
          <w:szCs w:val="32"/>
        </w:rPr>
        <w:t>开发以及产品和服务管理、销售过程中违反有关适当性管理的法律法规、规范性文件或内部制度、流程，给公司造成声誉、财产损失，或者使公司遭受监管处罚的，应当赔偿公司因此</w:t>
      </w:r>
      <w:r>
        <w:rPr>
          <w:rFonts w:hint="eastAsia" w:ascii="仿宋_GB2312" w:hAnsi="仿宋" w:eastAsia="仿宋_GB2312"/>
          <w:sz w:val="32"/>
          <w:szCs w:val="32"/>
          <w:lang w:val="en-US" w:eastAsia="zh-CN"/>
        </w:rPr>
        <w:t>遭受</w:t>
      </w:r>
      <w:r>
        <w:rPr>
          <w:rFonts w:hint="eastAsia" w:ascii="仿宋_GB2312" w:hAnsi="仿宋" w:eastAsia="仿宋_GB2312"/>
          <w:sz w:val="32"/>
          <w:szCs w:val="32"/>
        </w:rPr>
        <w:t>的直接和间接损失。</w:t>
      </w:r>
    </w:p>
    <w:p w14:paraId="64CE379A">
      <w:pPr>
        <w:pStyle w:val="16"/>
        <w:spacing w:line="560" w:lineRule="exact"/>
        <w:ind w:firstLine="0" w:firstLineChars="0"/>
        <w:jc w:val="center"/>
        <w:rPr>
          <w:rFonts w:ascii="黑体" w:hAnsi="黑体" w:eastAsia="黑体"/>
          <w:sz w:val="32"/>
          <w:szCs w:val="32"/>
        </w:rPr>
      </w:pPr>
      <w:r>
        <w:rPr>
          <w:rFonts w:hint="eastAsia" w:ascii="黑体" w:hAnsi="黑体" w:eastAsia="黑体"/>
          <w:bCs/>
          <w:sz w:val="32"/>
          <w:szCs w:val="32"/>
        </w:rPr>
        <w:t>第四节  其他保障性措施</w:t>
      </w:r>
    </w:p>
    <w:p w14:paraId="3D8EE291">
      <w:pPr>
        <w:pStyle w:val="16"/>
        <w:numPr>
          <w:ilvl w:val="0"/>
          <w:numId w:val="1"/>
        </w:numPr>
        <w:spacing w:line="560" w:lineRule="exact"/>
        <w:ind w:left="0" w:firstLine="640"/>
        <w:rPr>
          <w:rFonts w:ascii="仿宋_GB2312" w:hAnsi="仿宋" w:eastAsia="仿宋_GB2312"/>
          <w:sz w:val="32"/>
          <w:szCs w:val="32"/>
        </w:rPr>
      </w:pPr>
      <w:bookmarkStart w:id="6" w:name="OLE_LINK3"/>
      <w:bookmarkStart w:id="7" w:name="OLE_LINK1"/>
      <w:bookmarkStart w:id="8" w:name="OLE_LINK2"/>
      <w:r>
        <w:rPr>
          <w:rFonts w:hint="eastAsia" w:ascii="仿宋_GB2312" w:hAnsi="仿宋" w:eastAsia="仿宋_GB2312"/>
          <w:sz w:val="32"/>
          <w:szCs w:val="32"/>
        </w:rPr>
        <w:t>公司投资者适当性管理实行隔离机制，销售人员不得参与</w:t>
      </w:r>
      <w:r>
        <w:rPr>
          <w:rFonts w:hint="eastAsia" w:ascii="仿宋_GB2312" w:hAnsi="仿宋" w:eastAsia="仿宋_GB2312"/>
          <w:sz w:val="32"/>
          <w:szCs w:val="32"/>
          <w:lang w:eastAsia="zh-CN"/>
        </w:rPr>
        <w:t>投资者</w:t>
      </w:r>
      <w:r>
        <w:rPr>
          <w:rFonts w:hint="eastAsia" w:ascii="仿宋_GB2312" w:hAnsi="仿宋" w:eastAsia="仿宋_GB2312"/>
          <w:sz w:val="32"/>
          <w:szCs w:val="32"/>
        </w:rPr>
        <w:t>的分类评估、产品与服务的分级评估、投资者与产品服务的匹配以及</w:t>
      </w:r>
      <w:r>
        <w:rPr>
          <w:rFonts w:hint="eastAsia" w:ascii="仿宋_GB2312" w:hAnsi="仿宋" w:eastAsia="仿宋_GB2312"/>
          <w:sz w:val="32"/>
          <w:szCs w:val="32"/>
          <w:lang w:eastAsia="zh-CN"/>
        </w:rPr>
        <w:t>投资者</w:t>
      </w:r>
      <w:r>
        <w:rPr>
          <w:rFonts w:hint="eastAsia" w:ascii="仿宋_GB2312" w:hAnsi="仿宋" w:eastAsia="仿宋_GB2312"/>
          <w:sz w:val="32"/>
          <w:szCs w:val="32"/>
        </w:rPr>
        <w:t>回访工作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业务推介环节的适当性评估</w:t>
      </w:r>
      <w:r>
        <w:rPr>
          <w:rFonts w:hint="default" w:ascii="仿宋_GB2312" w:hAnsi="仿宋" w:eastAsia="仿宋_GB2312"/>
          <w:sz w:val="32"/>
          <w:szCs w:val="32"/>
          <w:lang w:val="en-US" w:eastAsia="zh-CN"/>
        </w:rPr>
        <w:t>除外</w:t>
      </w:r>
      <w:r>
        <w:rPr>
          <w:rFonts w:hint="eastAsia" w:ascii="仿宋_GB2312" w:hAnsi="仿宋" w:eastAsia="仿宋_GB2312"/>
          <w:sz w:val="32"/>
          <w:szCs w:val="32"/>
          <w:lang w:val="en-US" w:eastAsia="zh-CN"/>
        </w:rPr>
        <w:t>）</w:t>
      </w:r>
      <w:r>
        <w:rPr>
          <w:rFonts w:hint="eastAsia" w:ascii="仿宋_GB2312" w:hAnsi="仿宋" w:eastAsia="仿宋_GB2312"/>
          <w:sz w:val="32"/>
          <w:szCs w:val="32"/>
        </w:rPr>
        <w:t>。</w:t>
      </w:r>
    </w:p>
    <w:bookmarkEnd w:id="6"/>
    <w:bookmarkEnd w:id="7"/>
    <w:bookmarkEnd w:id="8"/>
    <w:p w14:paraId="489175FA">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各部门、分支机构应妥善处理因履行投资者适当性职责引起的</w:t>
      </w:r>
      <w:r>
        <w:rPr>
          <w:rFonts w:hint="eastAsia" w:ascii="仿宋_GB2312" w:hAnsi="仿宋" w:eastAsia="仿宋_GB2312"/>
          <w:bCs/>
          <w:sz w:val="32"/>
          <w:szCs w:val="32"/>
          <w:lang w:eastAsia="zh-CN"/>
        </w:rPr>
        <w:t>投资者</w:t>
      </w:r>
      <w:r>
        <w:rPr>
          <w:rFonts w:hint="eastAsia" w:ascii="仿宋_GB2312" w:hAnsi="仿宋" w:eastAsia="仿宋_GB2312"/>
          <w:bCs/>
          <w:sz w:val="32"/>
          <w:szCs w:val="32"/>
        </w:rPr>
        <w:t>投诉，</w:t>
      </w:r>
      <w:r>
        <w:rPr>
          <w:rFonts w:hint="eastAsia" w:ascii="仿宋_GB2312" w:hAnsi="仿宋" w:eastAsia="仿宋_GB2312"/>
          <w:sz w:val="32"/>
          <w:szCs w:val="32"/>
          <w:lang w:eastAsia="zh-CN"/>
        </w:rPr>
        <w:t>投资者</w:t>
      </w:r>
      <w:r>
        <w:rPr>
          <w:rFonts w:hint="eastAsia" w:ascii="仿宋_GB2312" w:hAnsi="仿宋" w:eastAsia="仿宋_GB2312"/>
          <w:sz w:val="32"/>
          <w:szCs w:val="32"/>
        </w:rPr>
        <w:t>所属</w:t>
      </w:r>
      <w:r>
        <w:rPr>
          <w:rFonts w:hint="eastAsia" w:ascii="仿宋_GB2312" w:hAnsi="仿宋" w:eastAsia="仿宋_GB2312"/>
          <w:sz w:val="32"/>
          <w:szCs w:val="32"/>
          <w:lang w:val="en-US" w:eastAsia="zh-CN"/>
        </w:rPr>
        <w:t>部门或</w:t>
      </w:r>
      <w:r>
        <w:rPr>
          <w:rFonts w:hint="eastAsia" w:ascii="仿宋_GB2312" w:hAnsi="仿宋" w:eastAsia="仿宋_GB2312"/>
          <w:sz w:val="32"/>
          <w:szCs w:val="32"/>
        </w:rPr>
        <w:t>分支机构的负责人为第一责任人，</w:t>
      </w:r>
      <w:r>
        <w:rPr>
          <w:rFonts w:hint="eastAsia" w:ascii="仿宋_GB2312" w:hAnsi="仿宋" w:eastAsia="仿宋_GB2312"/>
          <w:bCs/>
          <w:sz w:val="32"/>
          <w:szCs w:val="32"/>
        </w:rPr>
        <w:t>按照公司投诉管理的相关规定和流程处理投诉事件，保存投诉情况和处理记录，及时分析总结。</w:t>
      </w:r>
    </w:p>
    <w:p w14:paraId="16141A1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bCs/>
          <w:sz w:val="32"/>
          <w:szCs w:val="32"/>
        </w:rPr>
        <w:t>风控合规部</w:t>
      </w:r>
      <w:r>
        <w:rPr>
          <w:rFonts w:hint="eastAsia" w:ascii="仿宋_GB2312" w:hAnsi="仿宋" w:eastAsia="仿宋_GB2312"/>
          <w:sz w:val="32"/>
          <w:szCs w:val="32"/>
        </w:rPr>
        <w:t>对公司</w:t>
      </w:r>
      <w:r>
        <w:rPr>
          <w:rFonts w:hint="eastAsia" w:ascii="仿宋_GB2312" w:hAnsi="仿宋" w:eastAsia="仿宋_GB2312"/>
          <w:sz w:val="32"/>
          <w:szCs w:val="32"/>
          <w:lang w:eastAsia="zh-CN"/>
        </w:rPr>
        <w:t>投资者</w:t>
      </w:r>
      <w:r>
        <w:rPr>
          <w:rFonts w:hint="eastAsia" w:ascii="仿宋_GB2312" w:hAnsi="仿宋" w:eastAsia="仿宋_GB2312"/>
          <w:sz w:val="32"/>
          <w:szCs w:val="32"/>
        </w:rPr>
        <w:t>管理部门及产品与服务管理部门履行投资者适当性工作职责的执业行为实施监督，并</w:t>
      </w:r>
      <w:r>
        <w:rPr>
          <w:rFonts w:hint="eastAsia" w:ascii="仿宋_GB2312" w:hAnsi="仿宋" w:eastAsia="仿宋_GB2312"/>
          <w:bCs/>
          <w:sz w:val="32"/>
          <w:szCs w:val="32"/>
        </w:rPr>
        <w:t>每半年组织开展一次适当性自查</w:t>
      </w:r>
      <w:r>
        <w:rPr>
          <w:rFonts w:hint="eastAsia" w:ascii="仿宋_GB2312" w:hAnsi="仿宋" w:eastAsia="仿宋_GB2312"/>
          <w:bCs/>
          <w:sz w:val="32"/>
          <w:szCs w:val="32"/>
          <w:lang w:val="en-US" w:eastAsia="zh-CN"/>
        </w:rPr>
        <w:t>或合规检查工作</w:t>
      </w:r>
      <w:r>
        <w:rPr>
          <w:rFonts w:hint="eastAsia" w:ascii="仿宋_GB2312" w:hAnsi="仿宋" w:eastAsia="仿宋_GB2312"/>
          <w:sz w:val="32"/>
          <w:szCs w:val="32"/>
        </w:rPr>
        <w:t>。</w:t>
      </w:r>
    </w:p>
    <w:p w14:paraId="33EAA7B5">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产品与服务销售部门通过现场向普通投资者进行本办法第三十</w:t>
      </w:r>
      <w:r>
        <w:rPr>
          <w:rFonts w:hint="eastAsia" w:ascii="仿宋_GB2312" w:hAnsi="仿宋" w:eastAsia="仿宋_GB2312"/>
          <w:sz w:val="32"/>
          <w:szCs w:val="32"/>
          <w:lang w:val="en-US" w:eastAsia="zh-CN"/>
        </w:rPr>
        <w:t>三</w:t>
      </w:r>
      <w:r>
        <w:rPr>
          <w:rFonts w:hint="eastAsia" w:ascii="仿宋_GB2312" w:hAnsi="仿宋" w:eastAsia="仿宋_GB2312"/>
          <w:sz w:val="32"/>
          <w:szCs w:val="32"/>
        </w:rPr>
        <w:t>条、第</w:t>
      </w:r>
      <w:r>
        <w:rPr>
          <w:rFonts w:hint="eastAsia" w:ascii="仿宋_GB2312" w:hAnsi="仿宋" w:eastAsia="仿宋_GB2312"/>
          <w:sz w:val="32"/>
          <w:szCs w:val="32"/>
          <w:lang w:val="en-US" w:eastAsia="zh-CN"/>
        </w:rPr>
        <w:t>四十八</w:t>
      </w:r>
      <w:r>
        <w:rPr>
          <w:rFonts w:hint="eastAsia" w:ascii="仿宋_GB2312" w:hAnsi="仿宋" w:eastAsia="仿宋_GB2312"/>
          <w:sz w:val="32"/>
          <w:szCs w:val="32"/>
        </w:rPr>
        <w:t>条、第五十</w:t>
      </w:r>
      <w:r>
        <w:rPr>
          <w:rFonts w:hint="eastAsia" w:ascii="仿宋_GB2312" w:hAnsi="仿宋" w:eastAsia="仿宋_GB2312"/>
          <w:sz w:val="32"/>
          <w:szCs w:val="32"/>
          <w:lang w:val="en-US" w:eastAsia="zh-CN"/>
        </w:rPr>
        <w:t>一</w:t>
      </w:r>
      <w:r>
        <w:rPr>
          <w:rFonts w:hint="eastAsia" w:ascii="仿宋_GB2312" w:hAnsi="仿宋" w:eastAsia="仿宋_GB2312"/>
          <w:sz w:val="32"/>
          <w:szCs w:val="32"/>
        </w:rPr>
        <w:t>条、第五十</w:t>
      </w:r>
      <w:r>
        <w:rPr>
          <w:rFonts w:hint="eastAsia" w:ascii="仿宋_GB2312" w:hAnsi="仿宋" w:eastAsia="仿宋_GB2312"/>
          <w:sz w:val="32"/>
          <w:szCs w:val="32"/>
          <w:lang w:val="en-US" w:eastAsia="zh-CN"/>
        </w:rPr>
        <w:t>三</w:t>
      </w:r>
      <w:r>
        <w:rPr>
          <w:rFonts w:hint="eastAsia" w:ascii="仿宋_GB2312" w:hAnsi="仿宋" w:eastAsia="仿宋_GB2312"/>
          <w:sz w:val="32"/>
          <w:szCs w:val="32"/>
        </w:rPr>
        <w:t>条的告知、警示，应当全过程录音或录像；通过互联网等非现场方式进行的，产品与服务销售部门应当完善配套留痕安排，由普通投资者通过符合法律、行政法规要求的电子方式进行确认。</w:t>
      </w:r>
    </w:p>
    <w:p w14:paraId="7A90BCB4">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公司履行投资者适当性职责有关的信息和资料应按照档案管理要求进行妥善保管，严格保密，防止</w:t>
      </w:r>
      <w:r>
        <w:rPr>
          <w:rFonts w:hint="eastAsia" w:ascii="仿宋_GB2312" w:hAnsi="仿宋" w:eastAsia="仿宋_GB2312"/>
          <w:sz w:val="32"/>
          <w:szCs w:val="32"/>
          <w:lang w:eastAsia="zh-CN"/>
        </w:rPr>
        <w:t>投资者</w:t>
      </w:r>
      <w:r>
        <w:rPr>
          <w:rFonts w:hint="eastAsia" w:ascii="仿宋_GB2312" w:hAnsi="仿宋" w:eastAsia="仿宋_GB2312"/>
          <w:sz w:val="32"/>
          <w:szCs w:val="32"/>
        </w:rPr>
        <w:t>信息和资料被泄露或被不正当利用，保存期限</w:t>
      </w:r>
      <w:r>
        <w:rPr>
          <w:rFonts w:hint="eastAsia" w:ascii="仿宋_GB2312" w:hAnsi="仿宋" w:eastAsia="仿宋_GB2312"/>
          <w:sz w:val="32"/>
          <w:szCs w:val="32"/>
          <w:lang w:val="en-US" w:eastAsia="zh-CN"/>
        </w:rPr>
        <w:t>为自账户销户之日起</w:t>
      </w:r>
      <w:r>
        <w:rPr>
          <w:rFonts w:hint="eastAsia" w:ascii="仿宋_GB2312" w:hAnsi="仿宋" w:eastAsia="仿宋_GB2312"/>
          <w:sz w:val="32"/>
          <w:szCs w:val="32"/>
        </w:rPr>
        <w:t>不得少于20年。投资者适当性资料包括：</w:t>
      </w:r>
    </w:p>
    <w:p w14:paraId="7B4C346A">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信息和资料；</w:t>
      </w:r>
    </w:p>
    <w:p w14:paraId="14C9A7C1">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lang w:eastAsia="zh-CN"/>
        </w:rPr>
        <w:t>投资者</w:t>
      </w:r>
      <w:r>
        <w:rPr>
          <w:rFonts w:hint="eastAsia" w:ascii="仿宋_GB2312" w:hAnsi="仿宋" w:eastAsia="仿宋_GB2312"/>
          <w:sz w:val="32"/>
          <w:szCs w:val="32"/>
        </w:rPr>
        <w:t>风险承受能力评估、评级资料；</w:t>
      </w:r>
    </w:p>
    <w:p w14:paraId="2197DFD2">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产品或服务信息和资料；</w:t>
      </w:r>
    </w:p>
    <w:p w14:paraId="6C451A45">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产品或服务的风险等级划分资料；</w:t>
      </w:r>
    </w:p>
    <w:p w14:paraId="60A90374">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产品或服务的适当性评估结果资料；</w:t>
      </w:r>
    </w:p>
    <w:p w14:paraId="5040C3E1">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向</w:t>
      </w:r>
      <w:r>
        <w:rPr>
          <w:rFonts w:hint="eastAsia" w:ascii="仿宋_GB2312" w:hAnsi="仿宋" w:eastAsia="仿宋_GB2312"/>
          <w:sz w:val="32"/>
          <w:szCs w:val="32"/>
          <w:lang w:eastAsia="zh-CN"/>
        </w:rPr>
        <w:t>投资者</w:t>
      </w:r>
      <w:r>
        <w:rPr>
          <w:rFonts w:hint="eastAsia" w:ascii="仿宋_GB2312" w:hAnsi="仿宋" w:eastAsia="仿宋_GB2312"/>
          <w:sz w:val="32"/>
          <w:szCs w:val="32"/>
        </w:rPr>
        <w:t>发送</w:t>
      </w:r>
      <w:r>
        <w:rPr>
          <w:rFonts w:hint="eastAsia" w:ascii="仿宋_GB2312" w:hAnsi="仿宋" w:eastAsia="仿宋_GB2312"/>
          <w:sz w:val="32"/>
          <w:szCs w:val="32"/>
          <w:lang w:eastAsia="zh-CN"/>
        </w:rPr>
        <w:t>投资者</w:t>
      </w:r>
      <w:r>
        <w:rPr>
          <w:rFonts w:hint="eastAsia" w:ascii="仿宋_GB2312" w:hAnsi="仿宋" w:eastAsia="仿宋_GB2312"/>
          <w:sz w:val="32"/>
          <w:szCs w:val="32"/>
        </w:rPr>
        <w:t>签署的文件；</w:t>
      </w:r>
    </w:p>
    <w:p w14:paraId="25ED6B66">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录音录像资料；</w:t>
      </w:r>
    </w:p>
    <w:p w14:paraId="24EB350D">
      <w:pPr>
        <w:pStyle w:val="17"/>
        <w:numPr>
          <w:ilvl w:val="0"/>
          <w:numId w:val="26"/>
        </w:numPr>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自查报告；</w:t>
      </w:r>
    </w:p>
    <w:p w14:paraId="0BAA4471">
      <w:pPr>
        <w:pStyle w:val="17"/>
        <w:numPr>
          <w:ilvl w:val="0"/>
          <w:numId w:val="26"/>
        </w:numPr>
        <w:spacing w:line="560" w:lineRule="exact"/>
        <w:ind w:left="0" w:firstLine="640" w:firstLineChars="200"/>
        <w:rPr>
          <w:rFonts w:ascii="仿宋_GB2312" w:eastAsia="仿宋_GB2312"/>
          <w:sz w:val="32"/>
          <w:szCs w:val="32"/>
        </w:rPr>
      </w:pPr>
      <w:r>
        <w:rPr>
          <w:rFonts w:hint="eastAsia" w:ascii="仿宋_GB2312" w:hAnsi="仿宋" w:eastAsia="仿宋_GB2312"/>
          <w:sz w:val="32"/>
          <w:szCs w:val="32"/>
        </w:rPr>
        <w:t>其他相关信息和资料。</w:t>
      </w:r>
    </w:p>
    <w:p w14:paraId="6D2CC956">
      <w:pPr>
        <w:pStyle w:val="16"/>
        <w:numPr>
          <w:ilvl w:val="0"/>
          <w:numId w:val="1"/>
        </w:numPr>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lang w:val="en-US" w:eastAsia="zh-CN"/>
        </w:rPr>
        <w:t>投资者管理部门、产品与服务销售部门</w:t>
      </w:r>
      <w:r>
        <w:rPr>
          <w:rFonts w:hint="eastAsia" w:ascii="仿宋_GB2312" w:hAnsi="仿宋" w:eastAsia="仿宋_GB2312"/>
          <w:sz w:val="32"/>
          <w:szCs w:val="32"/>
        </w:rPr>
        <w:t>在</w:t>
      </w:r>
      <w:r>
        <w:rPr>
          <w:rFonts w:hint="eastAsia" w:ascii="仿宋_GB2312" w:hAnsi="仿宋" w:eastAsia="仿宋_GB2312"/>
          <w:sz w:val="32"/>
          <w:szCs w:val="32"/>
          <w:lang w:val="en-US" w:eastAsia="zh-CN"/>
        </w:rPr>
        <w:t>适当性</w:t>
      </w:r>
      <w:r>
        <w:rPr>
          <w:rFonts w:hint="eastAsia" w:ascii="仿宋_GB2312" w:hAnsi="仿宋" w:eastAsia="仿宋_GB2312"/>
          <w:sz w:val="32"/>
          <w:szCs w:val="32"/>
        </w:rPr>
        <w:t>工作中应相互配</w:t>
      </w:r>
      <w:r>
        <w:rPr>
          <w:rFonts w:hint="eastAsia" w:ascii="仿宋_GB2312" w:hAnsi="仿宋" w:eastAsia="仿宋_GB2312"/>
          <w:spacing w:val="0"/>
          <w:sz w:val="32"/>
          <w:szCs w:val="32"/>
        </w:rPr>
        <w:t>合</w:t>
      </w:r>
      <w:r>
        <w:rPr>
          <w:rFonts w:hint="eastAsia" w:ascii="仿宋_GB2312" w:hAnsi="仿宋" w:eastAsia="仿宋_GB2312"/>
          <w:sz w:val="32"/>
          <w:szCs w:val="32"/>
          <w:lang w:eastAsia="zh-CN"/>
        </w:rPr>
        <w:t>。</w:t>
      </w:r>
      <w:r>
        <w:rPr>
          <w:rFonts w:hint="eastAsia" w:ascii="仿宋_GB2312" w:hAnsi="仿宋" w:eastAsia="仿宋_GB2312"/>
          <w:sz w:val="32"/>
          <w:szCs w:val="32"/>
        </w:rPr>
        <w:t>同一</w:t>
      </w:r>
      <w:r>
        <w:rPr>
          <w:rFonts w:hint="eastAsia" w:ascii="仿宋_GB2312" w:hAnsi="仿宋" w:eastAsia="仿宋_GB2312"/>
          <w:sz w:val="32"/>
          <w:szCs w:val="32"/>
          <w:lang w:eastAsia="zh-CN"/>
        </w:rPr>
        <w:t>投资者</w:t>
      </w:r>
      <w:r>
        <w:rPr>
          <w:rFonts w:hint="eastAsia" w:ascii="仿宋_GB2312" w:hAnsi="仿宋" w:eastAsia="仿宋_GB2312"/>
          <w:sz w:val="32"/>
          <w:szCs w:val="32"/>
        </w:rPr>
        <w:t>的</w:t>
      </w:r>
      <w:r>
        <w:rPr>
          <w:rFonts w:hint="eastAsia" w:ascii="仿宋_GB2312" w:hAnsi="仿宋" w:eastAsia="仿宋_GB2312"/>
          <w:sz w:val="32"/>
          <w:szCs w:val="32"/>
          <w:lang w:val="en-US" w:eastAsia="zh-CN"/>
        </w:rPr>
        <w:t>适当性</w:t>
      </w:r>
      <w:r>
        <w:rPr>
          <w:rFonts w:hint="eastAsia" w:ascii="仿宋_GB2312" w:hAnsi="仿宋" w:eastAsia="仿宋_GB2312"/>
          <w:sz w:val="32"/>
          <w:szCs w:val="32"/>
        </w:rPr>
        <w:t>资料和</w:t>
      </w:r>
      <w:r>
        <w:rPr>
          <w:rFonts w:hint="eastAsia" w:ascii="仿宋_GB2312" w:hAnsi="仿宋" w:eastAsia="仿宋_GB2312"/>
          <w:sz w:val="32"/>
          <w:szCs w:val="32"/>
          <w:lang w:val="en-US" w:eastAsia="zh-CN"/>
        </w:rPr>
        <w:t>投资者</w:t>
      </w:r>
      <w:r>
        <w:rPr>
          <w:rFonts w:hint="eastAsia" w:ascii="仿宋_GB2312" w:hAnsi="仿宋" w:eastAsia="仿宋_GB2312"/>
          <w:sz w:val="32"/>
          <w:szCs w:val="32"/>
        </w:rPr>
        <w:t>信息，可在与</w:t>
      </w:r>
      <w:r>
        <w:rPr>
          <w:rFonts w:hint="eastAsia" w:ascii="仿宋_GB2312" w:hAnsi="仿宋" w:eastAsia="仿宋_GB2312"/>
          <w:spacing w:val="0"/>
          <w:sz w:val="32"/>
          <w:szCs w:val="32"/>
        </w:rPr>
        <w:t>该</w:t>
      </w:r>
      <w:r>
        <w:rPr>
          <w:rFonts w:hint="eastAsia" w:ascii="仿宋_GB2312" w:hAnsi="仿宋" w:eastAsia="仿宋_GB2312"/>
          <w:spacing w:val="0"/>
          <w:sz w:val="32"/>
          <w:szCs w:val="32"/>
          <w:lang w:eastAsia="zh-CN"/>
        </w:rPr>
        <w:t>投资者</w:t>
      </w:r>
      <w:r>
        <w:rPr>
          <w:rFonts w:hint="eastAsia" w:ascii="仿宋_GB2312" w:hAnsi="仿宋" w:eastAsia="仿宋_GB2312"/>
          <w:spacing w:val="0"/>
          <w:sz w:val="32"/>
          <w:szCs w:val="32"/>
        </w:rPr>
        <w:t>建立业务关系的</w:t>
      </w:r>
      <w:r>
        <w:rPr>
          <w:rFonts w:hint="eastAsia" w:ascii="仿宋_GB2312" w:hAnsi="仿宋" w:eastAsia="仿宋_GB2312"/>
          <w:spacing w:val="0"/>
          <w:sz w:val="32"/>
          <w:szCs w:val="32"/>
          <w:lang w:val="en-US" w:eastAsia="zh-CN"/>
        </w:rPr>
        <w:t>投资者管理</w:t>
      </w:r>
      <w:r>
        <w:rPr>
          <w:rFonts w:hint="eastAsia" w:ascii="仿宋_GB2312" w:hAnsi="仿宋" w:eastAsia="仿宋_GB2312"/>
          <w:spacing w:val="0"/>
          <w:sz w:val="32"/>
          <w:szCs w:val="32"/>
        </w:rPr>
        <w:t>部门</w:t>
      </w:r>
      <w:r>
        <w:rPr>
          <w:rFonts w:hint="eastAsia" w:ascii="仿宋_GB2312" w:hAnsi="仿宋" w:eastAsia="仿宋_GB2312"/>
          <w:spacing w:val="0"/>
          <w:sz w:val="32"/>
          <w:szCs w:val="32"/>
          <w:lang w:val="en-US"/>
        </w:rPr>
        <w:t>和</w:t>
      </w:r>
      <w:r>
        <w:rPr>
          <w:rFonts w:hint="eastAsia" w:ascii="仿宋_GB2312" w:hAnsi="仿宋" w:eastAsia="仿宋_GB2312"/>
          <w:spacing w:val="0"/>
          <w:sz w:val="32"/>
          <w:szCs w:val="32"/>
          <w:lang w:val="en-US" w:eastAsia="zh-CN"/>
        </w:rPr>
        <w:t>产品与服务销售部门</w:t>
      </w:r>
      <w:r>
        <w:rPr>
          <w:rFonts w:hint="eastAsia" w:ascii="仿宋_GB2312" w:hAnsi="仿宋" w:eastAsia="仿宋_GB2312"/>
          <w:spacing w:val="0"/>
          <w:sz w:val="32"/>
          <w:szCs w:val="32"/>
        </w:rPr>
        <w:t>之间共享，并应只用于履行</w:t>
      </w:r>
      <w:r>
        <w:rPr>
          <w:rFonts w:hint="eastAsia" w:ascii="仿宋_GB2312" w:hAnsi="仿宋" w:eastAsia="仿宋_GB2312"/>
          <w:spacing w:val="0"/>
          <w:sz w:val="32"/>
          <w:szCs w:val="32"/>
          <w:lang w:val="en-US" w:eastAsia="zh-CN"/>
        </w:rPr>
        <w:t>适当性</w:t>
      </w:r>
      <w:r>
        <w:rPr>
          <w:rFonts w:hint="eastAsia" w:ascii="仿宋_GB2312" w:hAnsi="仿宋" w:eastAsia="仿宋_GB2312"/>
          <w:spacing w:val="0"/>
          <w:sz w:val="32"/>
          <w:szCs w:val="32"/>
        </w:rPr>
        <w:t>工作职责。</w:t>
      </w:r>
    </w:p>
    <w:p w14:paraId="1EF7C2D0">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lang w:val="en-US"/>
        </w:rPr>
        <w:t>公司收集的履行</w:t>
      </w:r>
      <w:r>
        <w:rPr>
          <w:rFonts w:hint="eastAsia" w:ascii="仿宋_GB2312" w:hAnsi="仿宋" w:eastAsia="仿宋_GB2312"/>
          <w:sz w:val="32"/>
          <w:szCs w:val="32"/>
          <w:lang w:val="en-US" w:eastAsia="zh-CN"/>
        </w:rPr>
        <w:t>适当性</w:t>
      </w:r>
      <w:r>
        <w:rPr>
          <w:rFonts w:hint="eastAsia" w:ascii="仿宋_GB2312" w:hAnsi="仿宋" w:eastAsia="仿宋_GB2312"/>
          <w:sz w:val="32"/>
          <w:szCs w:val="32"/>
          <w:lang w:val="en-US"/>
        </w:rPr>
        <w:t>职责所需的</w:t>
      </w:r>
      <w:r>
        <w:rPr>
          <w:rFonts w:hint="eastAsia" w:ascii="仿宋_GB2312" w:hAnsi="仿宋" w:eastAsia="仿宋_GB2312"/>
          <w:sz w:val="32"/>
          <w:szCs w:val="32"/>
          <w:lang w:val="en-US" w:eastAsia="zh-CN"/>
        </w:rPr>
        <w:t>投资者信息</w:t>
      </w:r>
      <w:r>
        <w:rPr>
          <w:rFonts w:hint="eastAsia" w:ascii="仿宋_GB2312" w:hAnsi="仿宋" w:eastAsia="仿宋_GB2312"/>
          <w:sz w:val="32"/>
          <w:szCs w:val="32"/>
          <w:lang w:val="en-US"/>
        </w:rPr>
        <w:t>、</w:t>
      </w:r>
      <w:r>
        <w:rPr>
          <w:rFonts w:hint="eastAsia" w:ascii="仿宋_GB2312" w:hAnsi="仿宋" w:eastAsia="仿宋_GB2312"/>
          <w:sz w:val="32"/>
          <w:szCs w:val="32"/>
        </w:rPr>
        <w:t>投资者风险承受能力评级结果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诚信记录</w:t>
      </w:r>
      <w:r>
        <w:rPr>
          <w:rFonts w:hint="eastAsia" w:ascii="仿宋_GB2312" w:hAnsi="仿宋" w:eastAsia="仿宋_GB2312"/>
          <w:sz w:val="32"/>
          <w:szCs w:val="32"/>
        </w:rPr>
        <w:t>等信息，可供各</w:t>
      </w:r>
      <w:r>
        <w:rPr>
          <w:rFonts w:hint="eastAsia" w:ascii="仿宋_GB2312" w:hAnsi="仿宋" w:eastAsia="仿宋_GB2312"/>
          <w:sz w:val="32"/>
          <w:szCs w:val="32"/>
          <w:lang w:val="en-US" w:eastAsia="zh-CN"/>
        </w:rPr>
        <w:t>投资者管理</w:t>
      </w:r>
      <w:r>
        <w:rPr>
          <w:rFonts w:hint="eastAsia" w:ascii="仿宋_GB2312" w:hAnsi="仿宋" w:eastAsia="仿宋_GB2312"/>
          <w:sz w:val="32"/>
          <w:szCs w:val="32"/>
        </w:rPr>
        <w:t>部门、</w:t>
      </w:r>
      <w:r>
        <w:rPr>
          <w:rFonts w:hint="eastAsia" w:ascii="仿宋_GB2312" w:hAnsi="仿宋" w:eastAsia="仿宋_GB2312"/>
          <w:sz w:val="32"/>
          <w:szCs w:val="32"/>
          <w:lang w:val="en-US" w:eastAsia="zh-CN"/>
        </w:rPr>
        <w:t>产品与服务销售部门</w:t>
      </w:r>
      <w:r>
        <w:rPr>
          <w:rFonts w:hint="eastAsia" w:ascii="仿宋_GB2312" w:hAnsi="仿宋" w:eastAsia="仿宋_GB2312"/>
          <w:sz w:val="32"/>
          <w:szCs w:val="32"/>
        </w:rPr>
        <w:t>使用</w:t>
      </w:r>
      <w:r>
        <w:rPr>
          <w:rFonts w:hint="eastAsia" w:ascii="仿宋_GB2312" w:hAnsi="仿宋" w:eastAsia="仿宋_GB2312"/>
          <w:sz w:val="32"/>
          <w:szCs w:val="32"/>
          <w:lang w:eastAsia="zh-CN"/>
        </w:rPr>
        <w:t>。</w:t>
      </w:r>
    </w:p>
    <w:p w14:paraId="6CE59CC3">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公司相关岗位工作人员应当对履行投资者适当性工作职责过程中获取的投资者信息、投资者风险承受能力评级结果等信息和资料严格保密，防止信息和资料被泄露或者被不当利用。</w:t>
      </w:r>
    </w:p>
    <w:p w14:paraId="2AFE7C1A">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信息技术部应协助建立投资者适当性管理信息系统，以信息技术手段实现投资者适当性的电子化管理，并实现公司各系统之间的有效结合，全面汇总</w:t>
      </w:r>
      <w:r>
        <w:rPr>
          <w:rFonts w:hint="eastAsia" w:ascii="仿宋_GB2312" w:hAnsi="仿宋" w:eastAsia="仿宋_GB2312"/>
          <w:sz w:val="32"/>
          <w:szCs w:val="32"/>
          <w:lang w:eastAsia="zh-CN"/>
        </w:rPr>
        <w:t>投资者</w:t>
      </w:r>
      <w:r>
        <w:rPr>
          <w:rFonts w:hint="eastAsia" w:ascii="仿宋_GB2312" w:hAnsi="仿宋" w:eastAsia="仿宋_GB2312"/>
          <w:sz w:val="32"/>
          <w:szCs w:val="32"/>
        </w:rPr>
        <w:t>数据信息，构建统一的数字化管理平台。</w:t>
      </w:r>
    </w:p>
    <w:p w14:paraId="367E1798">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各部门及相关工作人员应当积极配合监管机构、自律组织等对公司开展的检查工作，不得拒绝、拖延提供有关资料，或者提供不真实、不准确、不完整的资料。</w:t>
      </w:r>
    </w:p>
    <w:p w14:paraId="7B53494C">
      <w:pPr>
        <w:pStyle w:val="16"/>
        <w:spacing w:line="560" w:lineRule="exact"/>
        <w:ind w:firstLine="0" w:firstLineChars="0"/>
        <w:jc w:val="center"/>
        <w:rPr>
          <w:rFonts w:hint="default" w:ascii="黑体" w:hAnsi="黑体" w:eastAsia="黑体"/>
          <w:bCs/>
          <w:sz w:val="32"/>
          <w:szCs w:val="32"/>
          <w:lang w:val="en-US" w:eastAsia="zh-CN"/>
        </w:rPr>
      </w:pPr>
      <w:r>
        <w:rPr>
          <w:rFonts w:hint="eastAsia" w:ascii="黑体" w:hAnsi="黑体" w:eastAsia="黑体"/>
          <w:bCs/>
          <w:sz w:val="32"/>
          <w:szCs w:val="32"/>
        </w:rPr>
        <w:t xml:space="preserve">第八章  </w:t>
      </w:r>
      <w:r>
        <w:rPr>
          <w:rFonts w:hint="eastAsia" w:ascii="黑体" w:hAnsi="黑体" w:eastAsia="黑体"/>
          <w:bCs/>
          <w:sz w:val="32"/>
          <w:szCs w:val="32"/>
          <w:lang w:val="en-US" w:eastAsia="zh-CN"/>
        </w:rPr>
        <w:t>廉洁从业</w:t>
      </w:r>
    </w:p>
    <w:p w14:paraId="2D7AC1D1">
      <w:pPr>
        <w:pStyle w:val="16"/>
        <w:numPr>
          <w:ilvl w:val="0"/>
          <w:numId w:val="1"/>
        </w:numPr>
        <w:spacing w:line="560" w:lineRule="exact"/>
        <w:ind w:left="0" w:leftChars="0" w:firstLine="640"/>
        <w:rPr>
          <w:rFonts w:hint="eastAsia" w:ascii="仿宋_GB2312" w:hAnsi="仿宋" w:eastAsia="仿宋_GB2312"/>
          <w:sz w:val="32"/>
          <w:szCs w:val="32"/>
        </w:rPr>
      </w:pPr>
      <w:r>
        <w:rPr>
          <w:rFonts w:hint="eastAsia" w:ascii="仿宋_GB2312" w:hAnsi="仿宋" w:eastAsia="仿宋_GB2312" w:cs="Times New Roman"/>
          <w:sz w:val="32"/>
          <w:szCs w:val="32"/>
        </w:rPr>
        <w:t>公司员工应遵守廉洁从业规定，不得侵吞公司财物、侵害公司利益，不得向</w:t>
      </w:r>
      <w:r>
        <w:rPr>
          <w:rFonts w:hint="eastAsia" w:ascii="仿宋_GB2312" w:hAnsi="仿宋" w:eastAsia="仿宋_GB2312" w:cs="Times New Roman"/>
          <w:sz w:val="32"/>
          <w:szCs w:val="32"/>
          <w:lang w:eastAsia="zh-CN"/>
        </w:rPr>
        <w:t>投资者</w:t>
      </w:r>
      <w:r>
        <w:rPr>
          <w:rFonts w:hint="eastAsia" w:ascii="仿宋_GB2312" w:hAnsi="仿宋" w:eastAsia="仿宋_GB2312" w:cs="Times New Roman"/>
          <w:sz w:val="32"/>
          <w:szCs w:val="32"/>
        </w:rPr>
        <w:t>输送不正当利益或通过</w:t>
      </w:r>
      <w:r>
        <w:rPr>
          <w:rFonts w:hint="eastAsia" w:ascii="仿宋_GB2312" w:hAnsi="仿宋" w:eastAsia="仿宋_GB2312" w:cs="Times New Roman"/>
          <w:sz w:val="32"/>
          <w:szCs w:val="32"/>
          <w:lang w:eastAsia="zh-CN"/>
        </w:rPr>
        <w:t>投资者</w:t>
      </w:r>
      <w:r>
        <w:rPr>
          <w:rFonts w:hint="eastAsia" w:ascii="仿宋_GB2312" w:hAnsi="仿宋" w:eastAsia="仿宋_GB2312" w:cs="Times New Roman"/>
          <w:sz w:val="32"/>
          <w:szCs w:val="32"/>
          <w:lang w:val="en-US" w:eastAsia="zh-CN"/>
        </w:rPr>
        <w:t>适当性</w:t>
      </w:r>
      <w:r>
        <w:rPr>
          <w:rFonts w:hint="eastAsia" w:ascii="仿宋_GB2312" w:hAnsi="仿宋" w:eastAsia="仿宋_GB2312" w:cs="Times New Roman"/>
          <w:sz w:val="32"/>
          <w:szCs w:val="32"/>
        </w:rPr>
        <w:t>业务的开展谋取不正当利益，不得存在商业贿赂行为。</w:t>
      </w:r>
    </w:p>
    <w:p w14:paraId="5661DBAA">
      <w:pPr>
        <w:pStyle w:val="16"/>
        <w:numPr>
          <w:ilvl w:val="0"/>
          <w:numId w:val="1"/>
        </w:numPr>
        <w:spacing w:line="560" w:lineRule="exact"/>
        <w:ind w:left="0" w:leftChars="0" w:firstLine="640"/>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
        </w:rPr>
        <w:t>投资者管理部门、产品与服务销售部门员工在办理适当性业务过程中应如实反映投资者信息，不得隐瞒、伪造、篡改相关信息；不得引导、误导投资者选择指定的问卷选项；不得引导、要求投资者评估为指定的风险承受能力等级。</w:t>
      </w:r>
    </w:p>
    <w:p w14:paraId="63BCF4CB">
      <w:pPr>
        <w:pStyle w:val="16"/>
        <w:spacing w:line="560" w:lineRule="exact"/>
        <w:ind w:firstLine="0" w:firstLineChars="0"/>
        <w:jc w:val="center"/>
        <w:rPr>
          <w:rFonts w:ascii="黑体" w:hAnsi="黑体" w:eastAsia="黑体"/>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九</w:t>
      </w:r>
      <w:r>
        <w:rPr>
          <w:rFonts w:hint="eastAsia" w:ascii="黑体" w:hAnsi="黑体" w:eastAsia="黑体"/>
          <w:bCs/>
          <w:sz w:val="32"/>
          <w:szCs w:val="32"/>
        </w:rPr>
        <w:t>章  附则</w:t>
      </w:r>
    </w:p>
    <w:p w14:paraId="7F5FDB5C">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本办法由投资者适当性管理委员会负责解释</w:t>
      </w:r>
      <w:r>
        <w:rPr>
          <w:rFonts w:hint="eastAsia" w:ascii="仿宋_GB2312" w:hAnsi="仿宋" w:eastAsia="仿宋_GB2312"/>
          <w:sz w:val="32"/>
          <w:szCs w:val="32"/>
          <w:lang w:val="en-US" w:eastAsia="zh-CN"/>
        </w:rPr>
        <w:t>和修订</w:t>
      </w:r>
      <w:r>
        <w:rPr>
          <w:rFonts w:hint="eastAsia" w:ascii="仿宋_GB2312" w:hAnsi="仿宋" w:eastAsia="仿宋_GB2312"/>
          <w:sz w:val="32"/>
          <w:szCs w:val="32"/>
        </w:rPr>
        <w:t>。</w:t>
      </w:r>
    </w:p>
    <w:p w14:paraId="03938081">
      <w:pPr>
        <w:pStyle w:val="16"/>
        <w:numPr>
          <w:ilvl w:val="0"/>
          <w:numId w:val="1"/>
        </w:numPr>
        <w:spacing w:line="560" w:lineRule="exact"/>
        <w:ind w:left="0" w:firstLine="640"/>
        <w:rPr>
          <w:rFonts w:ascii="仿宋_GB2312" w:hAnsi="仿宋" w:eastAsia="仿宋_GB2312"/>
          <w:sz w:val="32"/>
          <w:szCs w:val="32"/>
        </w:rPr>
      </w:pPr>
      <w:r>
        <w:rPr>
          <w:rFonts w:hint="eastAsia" w:ascii="仿宋_GB2312" w:hAnsi="仿宋" w:eastAsia="仿宋_GB2312"/>
          <w:sz w:val="32"/>
          <w:szCs w:val="32"/>
        </w:rPr>
        <w:t>本办法于2022年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1</w:t>
      </w:r>
      <w:r>
        <w:rPr>
          <w:rFonts w:hint="eastAsia" w:ascii="仿宋_GB2312" w:hAnsi="仿宋" w:eastAsia="仿宋_GB2312"/>
          <w:sz w:val="32"/>
          <w:szCs w:val="32"/>
        </w:rPr>
        <w:t>日</w:t>
      </w:r>
      <w:r>
        <w:rPr>
          <w:rFonts w:hint="eastAsia" w:ascii="仿宋" w:hAnsi="仿宋" w:eastAsia="仿宋"/>
          <w:sz w:val="32"/>
          <w:szCs w:val="32"/>
          <w:lang w:val="en-US" w:eastAsia="zh-CN"/>
        </w:rPr>
        <w:t>发布实施，于2025年7月进行第一次修订，</w:t>
      </w:r>
      <w:r>
        <w:rPr>
          <w:rFonts w:hint="eastAsia" w:ascii="仿宋" w:hAnsi="仿宋" w:eastAsia="仿宋"/>
          <w:sz w:val="32"/>
          <w:szCs w:val="32"/>
        </w:rPr>
        <w:t>并自下发之日起施行</w:t>
      </w:r>
      <w:r>
        <w:rPr>
          <w:rFonts w:hint="eastAsia" w:ascii="仿宋_GB2312" w:hAnsi="仿宋" w:eastAsia="仿宋_GB2312"/>
          <w:sz w:val="32"/>
          <w:szCs w:val="32"/>
        </w:rPr>
        <w:t>。</w:t>
      </w:r>
    </w:p>
    <w:p w14:paraId="23BCAE09">
      <w:pPr>
        <w:spacing w:line="560" w:lineRule="exact"/>
        <w:rPr>
          <w:rFonts w:ascii="仿宋_GB2312" w:hAnsi="仿宋" w:eastAsia="仿宋_GB2312"/>
          <w:sz w:val="32"/>
          <w:szCs w:val="32"/>
        </w:rPr>
      </w:pPr>
      <w:r>
        <w:fldChar w:fldCharType="begin"/>
      </w:r>
      <w:r>
        <w:instrText xml:space="preserve"> DOCPROPERTY  正文部分  \* MERGEFORMAT </w:instrText>
      </w:r>
      <w:r>
        <w:fldChar w:fldCharType="end"/>
      </w:r>
    </w:p>
    <w:p w14:paraId="092EE451">
      <w:pPr>
        <w:spacing w:line="560" w:lineRule="exact"/>
        <w:rPr>
          <w:rFonts w:ascii="仿宋_GB2312" w:eastAsia="仿宋_GB2312"/>
          <w:sz w:val="30"/>
          <w:szCs w:val="30"/>
        </w:rPr>
      </w:pPr>
    </w:p>
    <w:p w14:paraId="37C3B9EE">
      <w:pPr>
        <w:spacing w:line="560" w:lineRule="exact"/>
      </w:pPr>
    </w:p>
    <w:sectPr>
      <w:footerReference r:id="rId3" w:type="default"/>
      <w:footerReference r:id="rId4" w:type="even"/>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4342">
    <w:pPr>
      <w:pStyle w:val="6"/>
      <w:wordWrap/>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p>
  <w:p w14:paraId="21B48DE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25B5C">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580815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28646"/>
    <w:multiLevelType w:val="singleLevel"/>
    <w:tmpl w:val="BD828646"/>
    <w:lvl w:ilvl="0" w:tentative="0">
      <w:start w:val="1"/>
      <w:numFmt w:val="chineseCounting"/>
      <w:suff w:val="nothing"/>
      <w:lvlText w:val="（%1）"/>
      <w:lvlJc w:val="left"/>
      <w:rPr>
        <w:rFonts w:hint="eastAsia"/>
      </w:rPr>
    </w:lvl>
  </w:abstractNum>
  <w:abstractNum w:abstractNumId="1">
    <w:nsid w:val="C2752301"/>
    <w:multiLevelType w:val="singleLevel"/>
    <w:tmpl w:val="C2752301"/>
    <w:lvl w:ilvl="0" w:tentative="0">
      <w:start w:val="1"/>
      <w:numFmt w:val="chineseCounting"/>
      <w:suff w:val="nothing"/>
      <w:lvlText w:val="（%1）"/>
      <w:lvlJc w:val="left"/>
      <w:pPr>
        <w:ind w:left="0" w:firstLine="420"/>
      </w:pPr>
      <w:rPr>
        <w:rFonts w:hint="eastAsia"/>
      </w:rPr>
    </w:lvl>
  </w:abstractNum>
  <w:abstractNum w:abstractNumId="2">
    <w:nsid w:val="F4A192E7"/>
    <w:multiLevelType w:val="singleLevel"/>
    <w:tmpl w:val="F4A192E7"/>
    <w:lvl w:ilvl="0" w:tentative="0">
      <w:start w:val="1"/>
      <w:numFmt w:val="chineseCounting"/>
      <w:suff w:val="nothing"/>
      <w:lvlText w:val="（%1）"/>
      <w:lvlJc w:val="left"/>
      <w:pPr>
        <w:ind w:left="0" w:firstLine="420"/>
      </w:pPr>
      <w:rPr>
        <w:rFonts w:hint="eastAsia"/>
      </w:rPr>
    </w:lvl>
  </w:abstractNum>
  <w:abstractNum w:abstractNumId="3">
    <w:nsid w:val="153E333B"/>
    <w:multiLevelType w:val="multilevel"/>
    <w:tmpl w:val="153E333B"/>
    <w:lvl w:ilvl="0" w:tentative="0">
      <w:start w:val="1"/>
      <w:numFmt w:val="chineseCountingThousand"/>
      <w:lvlText w:val="(%1)"/>
      <w:lvlJc w:val="left"/>
      <w:pPr>
        <w:ind w:left="1129" w:hanging="420"/>
      </w:pPr>
    </w:lvl>
    <w:lvl w:ilvl="1" w:tentative="0">
      <w:start w:val="1"/>
      <w:numFmt w:val="japaneseCounting"/>
      <w:lvlText w:val="（%2）"/>
      <w:lvlJc w:val="left"/>
      <w:pPr>
        <w:ind w:left="2725" w:hanging="1596"/>
      </w:pPr>
      <w:rPr>
        <w:rFonts w:hint="default"/>
      </w:r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15934B41"/>
    <w:multiLevelType w:val="multilevel"/>
    <w:tmpl w:val="15934B41"/>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921C58"/>
    <w:multiLevelType w:val="multilevel"/>
    <w:tmpl w:val="19921C58"/>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231545"/>
    <w:multiLevelType w:val="multilevel"/>
    <w:tmpl w:val="24231545"/>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6E1151"/>
    <w:multiLevelType w:val="multilevel"/>
    <w:tmpl w:val="266E1151"/>
    <w:lvl w:ilvl="0" w:tentative="0">
      <w:start w:val="1"/>
      <w:numFmt w:val="japaneseCounting"/>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AC80328"/>
    <w:multiLevelType w:val="singleLevel"/>
    <w:tmpl w:val="2AC80328"/>
    <w:lvl w:ilvl="0" w:tentative="0">
      <w:start w:val="1"/>
      <w:numFmt w:val="chineseCounting"/>
      <w:suff w:val="nothing"/>
      <w:lvlText w:val="（%1）"/>
      <w:lvlJc w:val="left"/>
      <w:pPr>
        <w:ind w:left="0" w:firstLine="420"/>
      </w:pPr>
      <w:rPr>
        <w:rFonts w:hint="eastAsia"/>
      </w:rPr>
    </w:lvl>
  </w:abstractNum>
  <w:abstractNum w:abstractNumId="9">
    <w:nsid w:val="2C0905F7"/>
    <w:multiLevelType w:val="multilevel"/>
    <w:tmpl w:val="2C0905F7"/>
    <w:lvl w:ilvl="0" w:tentative="0">
      <w:start w:val="1"/>
      <w:numFmt w:val="japaneseCounting"/>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E990997"/>
    <w:multiLevelType w:val="singleLevel"/>
    <w:tmpl w:val="2E990997"/>
    <w:lvl w:ilvl="0" w:tentative="0">
      <w:start w:val="1"/>
      <w:numFmt w:val="chineseCounting"/>
      <w:suff w:val="nothing"/>
      <w:lvlText w:val="（%1）"/>
      <w:lvlJc w:val="left"/>
      <w:pPr>
        <w:ind w:left="0" w:firstLine="420"/>
      </w:pPr>
      <w:rPr>
        <w:rFonts w:hint="eastAsia"/>
      </w:rPr>
    </w:lvl>
  </w:abstractNum>
  <w:abstractNum w:abstractNumId="11">
    <w:nsid w:val="42D17BBF"/>
    <w:multiLevelType w:val="multilevel"/>
    <w:tmpl w:val="42D17BBF"/>
    <w:lvl w:ilvl="0" w:tentative="0">
      <w:start w:val="1"/>
      <w:numFmt w:val="japaneseCounting"/>
      <w:lvlText w:val="（%1）"/>
      <w:lvlJc w:val="left"/>
      <w:pPr>
        <w:ind w:left="825" w:hanging="825"/>
      </w:pPr>
      <w:rPr>
        <w:rFonts w:hint="eastAsia" w:ascii="仿宋_GB2312" w:hAnsi="仿宋" w:eastAsia="仿宋_GB2312"/>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BB12D0"/>
    <w:multiLevelType w:val="multilevel"/>
    <w:tmpl w:val="43BB12D0"/>
    <w:lvl w:ilvl="0" w:tentative="0">
      <w:start w:val="1"/>
      <w:numFmt w:val="chineseCount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462E1231"/>
    <w:multiLevelType w:val="multilevel"/>
    <w:tmpl w:val="462E1231"/>
    <w:lvl w:ilvl="0" w:tentative="0">
      <w:start w:val="1"/>
      <w:numFmt w:val="japaneseCounting"/>
      <w:lvlText w:val="（%1）"/>
      <w:lvlJc w:val="left"/>
      <w:pPr>
        <w:ind w:left="825" w:hanging="8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2A3E12"/>
    <w:multiLevelType w:val="multilevel"/>
    <w:tmpl w:val="572A3E12"/>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5924E1D4"/>
    <w:multiLevelType w:val="singleLevel"/>
    <w:tmpl w:val="5924E1D4"/>
    <w:lvl w:ilvl="0" w:tentative="0">
      <w:start w:val="1"/>
      <w:numFmt w:val="chineseCounting"/>
      <w:lvlText w:val="（%1）"/>
      <w:lvlJc w:val="left"/>
      <w:pPr>
        <w:ind w:left="420" w:hanging="420"/>
      </w:pPr>
    </w:lvl>
  </w:abstractNum>
  <w:abstractNum w:abstractNumId="16">
    <w:nsid w:val="5926AE13"/>
    <w:multiLevelType w:val="singleLevel"/>
    <w:tmpl w:val="5926AE13"/>
    <w:lvl w:ilvl="0" w:tentative="0">
      <w:start w:val="1"/>
      <w:numFmt w:val="chineseCounting"/>
      <w:suff w:val="nothing"/>
      <w:lvlText w:val="（%1）"/>
      <w:lvlJc w:val="left"/>
    </w:lvl>
  </w:abstractNum>
  <w:abstractNum w:abstractNumId="17">
    <w:nsid w:val="592FE634"/>
    <w:multiLevelType w:val="singleLevel"/>
    <w:tmpl w:val="592FE634"/>
    <w:lvl w:ilvl="0" w:tentative="0">
      <w:start w:val="1"/>
      <w:numFmt w:val="chineseCounting"/>
      <w:suff w:val="nothing"/>
      <w:lvlText w:val="（%1）"/>
      <w:lvlJc w:val="left"/>
    </w:lvl>
  </w:abstractNum>
  <w:abstractNum w:abstractNumId="18">
    <w:nsid w:val="5B3E1D15"/>
    <w:multiLevelType w:val="multilevel"/>
    <w:tmpl w:val="5B3E1D1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BA813E5"/>
    <w:multiLevelType w:val="multilevel"/>
    <w:tmpl w:val="5BA813E5"/>
    <w:lvl w:ilvl="0" w:tentative="0">
      <w:start w:val="1"/>
      <w:numFmt w:val="japaneseCounting"/>
      <w:lvlText w:val="第%1条"/>
      <w:lvlJc w:val="left"/>
      <w:pPr>
        <w:ind w:left="720" w:hanging="720"/>
      </w:pPr>
      <w:rPr>
        <w:rFonts w:hint="eastAsia" w:ascii="仿宋" w:hAnsi="仿宋" w:eastAsia="仿宋" w:cs="仿宋"/>
        <w:b/>
        <w:bCs/>
        <w:sz w:val="32"/>
        <w:szCs w:val="32"/>
        <w:lang w:val="en-US"/>
      </w:rPr>
    </w:lvl>
    <w:lvl w:ilvl="1" w:tentative="0">
      <w:start w:val="1"/>
      <w:numFmt w:val="japaneseCounting"/>
      <w:lvlText w:val="%2、"/>
      <w:lvlJc w:val="left"/>
      <w:pPr>
        <w:ind w:left="42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02C50A7"/>
    <w:multiLevelType w:val="multilevel"/>
    <w:tmpl w:val="602C50A7"/>
    <w:lvl w:ilvl="0" w:tentative="0">
      <w:start w:val="1"/>
      <w:numFmt w:val="chineseCounting"/>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1">
    <w:nsid w:val="63336423"/>
    <w:multiLevelType w:val="multilevel"/>
    <w:tmpl w:val="63336423"/>
    <w:lvl w:ilvl="0" w:tentative="0">
      <w:start w:val="1"/>
      <w:numFmt w:val="japaneseCounting"/>
      <w:lvlText w:val="（%1）"/>
      <w:lvlJc w:val="left"/>
      <w:pPr>
        <w:ind w:left="1440" w:hanging="720"/>
      </w:pPr>
      <w:rPr>
        <w:rFonts w:hint="default" w:ascii="仿宋" w:hAnsi="仿宋" w:eastAsia="仿宋"/>
        <w:sz w:val="28"/>
        <w:szCs w:val="28"/>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2">
    <w:nsid w:val="6A5B275E"/>
    <w:multiLevelType w:val="multilevel"/>
    <w:tmpl w:val="6A5B275E"/>
    <w:lvl w:ilvl="0" w:tentative="0">
      <w:start w:val="1"/>
      <w:numFmt w:val="chineseCounting"/>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3">
    <w:nsid w:val="6F6F5313"/>
    <w:multiLevelType w:val="multilevel"/>
    <w:tmpl w:val="6F6F5313"/>
    <w:lvl w:ilvl="0" w:tentative="0">
      <w:start w:val="1"/>
      <w:numFmt w:val="japaneseCounting"/>
      <w:lvlText w:val="（%1）"/>
      <w:lvlJc w:val="left"/>
      <w:pPr>
        <w:ind w:left="825" w:hanging="8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3661586"/>
    <w:multiLevelType w:val="singleLevel"/>
    <w:tmpl w:val="73661586"/>
    <w:lvl w:ilvl="0" w:tentative="0">
      <w:start w:val="1"/>
      <w:numFmt w:val="chineseCounting"/>
      <w:suff w:val="nothing"/>
      <w:lvlText w:val="（%1）"/>
      <w:lvlJc w:val="left"/>
      <w:pPr>
        <w:ind w:left="0" w:firstLine="420"/>
      </w:pPr>
      <w:rPr>
        <w:rFonts w:hint="eastAsia"/>
      </w:rPr>
    </w:lvl>
  </w:abstractNum>
  <w:abstractNum w:abstractNumId="25">
    <w:nsid w:val="78174F84"/>
    <w:multiLevelType w:val="multilevel"/>
    <w:tmpl w:val="78174F84"/>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9"/>
  </w:num>
  <w:num w:numId="2">
    <w:abstractNumId w:val="21"/>
  </w:num>
  <w:num w:numId="3">
    <w:abstractNumId w:val="14"/>
  </w:num>
  <w:num w:numId="4">
    <w:abstractNumId w:val="11"/>
  </w:num>
  <w:num w:numId="5">
    <w:abstractNumId w:val="13"/>
  </w:num>
  <w:num w:numId="6">
    <w:abstractNumId w:val="24"/>
  </w:num>
  <w:num w:numId="7">
    <w:abstractNumId w:val="10"/>
  </w:num>
  <w:num w:numId="8">
    <w:abstractNumId w:val="3"/>
  </w:num>
  <w:num w:numId="9">
    <w:abstractNumId w:val="6"/>
  </w:num>
  <w:num w:numId="10">
    <w:abstractNumId w:val="12"/>
  </w:num>
  <w:num w:numId="11">
    <w:abstractNumId w:val="4"/>
  </w:num>
  <w:num w:numId="12">
    <w:abstractNumId w:val="23"/>
  </w:num>
  <w:num w:numId="13">
    <w:abstractNumId w:val="20"/>
  </w:num>
  <w:num w:numId="14">
    <w:abstractNumId w:val="22"/>
  </w:num>
  <w:num w:numId="15">
    <w:abstractNumId w:val="1"/>
  </w:num>
  <w:num w:numId="16">
    <w:abstractNumId w:val="17"/>
  </w:num>
  <w:num w:numId="17">
    <w:abstractNumId w:val="8"/>
  </w:num>
  <w:num w:numId="18">
    <w:abstractNumId w:val="7"/>
  </w:num>
  <w:num w:numId="19">
    <w:abstractNumId w:val="9"/>
  </w:num>
  <w:num w:numId="20">
    <w:abstractNumId w:val="15"/>
  </w:num>
  <w:num w:numId="21">
    <w:abstractNumId w:val="18"/>
  </w:num>
  <w:num w:numId="22">
    <w:abstractNumId w:val="16"/>
  </w:num>
  <w:num w:numId="23">
    <w:abstractNumId w:val="0"/>
  </w:num>
  <w:num w:numId="24">
    <w:abstractNumId w:val="25"/>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569DF"/>
    <w:rsid w:val="000344A5"/>
    <w:rsid w:val="00095622"/>
    <w:rsid w:val="002115E7"/>
    <w:rsid w:val="00260FF9"/>
    <w:rsid w:val="002D5C1B"/>
    <w:rsid w:val="0037146C"/>
    <w:rsid w:val="00452E89"/>
    <w:rsid w:val="004A05D3"/>
    <w:rsid w:val="005C01EA"/>
    <w:rsid w:val="005C21B8"/>
    <w:rsid w:val="00607BC5"/>
    <w:rsid w:val="00936FC3"/>
    <w:rsid w:val="00E56D7B"/>
    <w:rsid w:val="057933A8"/>
    <w:rsid w:val="06BD6F00"/>
    <w:rsid w:val="0AFA3189"/>
    <w:rsid w:val="10FB6F43"/>
    <w:rsid w:val="122E05A3"/>
    <w:rsid w:val="152967F6"/>
    <w:rsid w:val="1B3D2594"/>
    <w:rsid w:val="1B5805DF"/>
    <w:rsid w:val="1BC166A6"/>
    <w:rsid w:val="1D9041FF"/>
    <w:rsid w:val="1EB3739C"/>
    <w:rsid w:val="288F79AD"/>
    <w:rsid w:val="2B923C34"/>
    <w:rsid w:val="309D33E2"/>
    <w:rsid w:val="30BC209E"/>
    <w:rsid w:val="32B86B57"/>
    <w:rsid w:val="32F63540"/>
    <w:rsid w:val="33E569DF"/>
    <w:rsid w:val="347E6356"/>
    <w:rsid w:val="35A42B94"/>
    <w:rsid w:val="3B371D6F"/>
    <w:rsid w:val="3F7617BE"/>
    <w:rsid w:val="43561D5F"/>
    <w:rsid w:val="44F32A2B"/>
    <w:rsid w:val="47657564"/>
    <w:rsid w:val="47DA2270"/>
    <w:rsid w:val="4CCD31FB"/>
    <w:rsid w:val="4D3002E5"/>
    <w:rsid w:val="506031C0"/>
    <w:rsid w:val="51002A7D"/>
    <w:rsid w:val="51586CD8"/>
    <w:rsid w:val="53AA7D4E"/>
    <w:rsid w:val="545F4B67"/>
    <w:rsid w:val="552D6995"/>
    <w:rsid w:val="58D4605F"/>
    <w:rsid w:val="5ACA75E1"/>
    <w:rsid w:val="5C0717CB"/>
    <w:rsid w:val="5F4C0404"/>
    <w:rsid w:val="60850DA5"/>
    <w:rsid w:val="61316E12"/>
    <w:rsid w:val="617B5070"/>
    <w:rsid w:val="667D3D7C"/>
    <w:rsid w:val="680C1D27"/>
    <w:rsid w:val="711F028B"/>
    <w:rsid w:val="714A450C"/>
    <w:rsid w:val="715F556B"/>
    <w:rsid w:val="76574DD1"/>
    <w:rsid w:val="767E5FFC"/>
    <w:rsid w:val="7B5970A6"/>
    <w:rsid w:val="7E91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qFormat/>
    <w:uiPriority w:val="1"/>
    <w:pPr>
      <w:autoSpaceDE w:val="0"/>
      <w:autoSpaceDN w:val="0"/>
      <w:ind w:left="120" w:right="397" w:firstLine="640"/>
      <w:jc w:val="left"/>
    </w:pPr>
    <w:rPr>
      <w:rFonts w:ascii="仿宋" w:hAnsi="仿宋" w:eastAsia="仿宋" w:cs="仿宋"/>
      <w:kern w:val="0"/>
      <w:sz w:val="28"/>
      <w:szCs w:val="28"/>
      <w:lang w:val="zh-CN" w:bidi="zh-CN"/>
    </w:r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3"/>
    <w:next w:val="3"/>
    <w:link w:val="22"/>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semiHidden/>
    <w:qFormat/>
    <w:uiPriority w:val="99"/>
    <w:rPr>
      <w:rFonts w:ascii="Calibri" w:hAnsi="Calibri" w:eastAsia="宋体" w:cs="Times New Roman"/>
      <w:sz w:val="18"/>
      <w:szCs w:val="18"/>
      <w:lang w:val="en-US" w:eastAsia="zh-CN" w:bidi="ar-SA"/>
    </w:rPr>
  </w:style>
  <w:style w:type="character" w:customStyle="1" w:styleId="14">
    <w:name w:val="页脚 字符"/>
    <w:basedOn w:val="11"/>
    <w:link w:val="6"/>
    <w:qFormat/>
    <w:uiPriority w:val="99"/>
    <w:rPr>
      <w:rFonts w:ascii="Calibri" w:hAnsi="Calibri" w:eastAsia="宋体" w:cs="Times New Roman"/>
      <w:sz w:val="18"/>
      <w:szCs w:val="18"/>
      <w:lang w:val="en-US" w:eastAsia="zh-CN" w:bidi="ar-SA"/>
    </w:rPr>
  </w:style>
  <w:style w:type="character" w:customStyle="1" w:styleId="15">
    <w:name w:val="标题 3 字符"/>
    <w:basedOn w:val="11"/>
    <w:link w:val="2"/>
    <w:qFormat/>
    <w:uiPriority w:val="9"/>
    <w:rPr>
      <w:rFonts w:ascii="Calibri" w:hAnsi="Calibri" w:eastAsia="宋体" w:cs="Times New Roman"/>
      <w:b/>
      <w:bCs/>
      <w:sz w:val="32"/>
      <w:szCs w:val="32"/>
      <w:lang w:val="en-US" w:eastAsia="zh-CN" w:bidi="ar-SA"/>
    </w:rPr>
  </w:style>
  <w:style w:type="paragraph" w:customStyle="1" w:styleId="16">
    <w:name w:val="列出段落1"/>
    <w:basedOn w:val="1"/>
    <w:qFormat/>
    <w:uiPriority w:val="99"/>
    <w:pPr>
      <w:ind w:firstLine="420" w:firstLineChars="200"/>
    </w:pPr>
  </w:style>
  <w:style w:type="paragraph" w:styleId="17">
    <w:name w:val="List Paragraph"/>
    <w:basedOn w:val="1"/>
    <w:unhideWhenUsed/>
    <w:qFormat/>
    <w:uiPriority w:val="99"/>
    <w:pPr>
      <w:ind w:firstLine="420" w:firstLineChars="200"/>
    </w:pPr>
  </w:style>
  <w:style w:type="character" w:customStyle="1" w:styleId="18">
    <w:name w:val="列出段落 Char"/>
    <w:link w:val="19"/>
    <w:qFormat/>
    <w:locked/>
    <w:uiPriority w:val="34"/>
    <w:rPr>
      <w:rFonts w:ascii="Times New Roman" w:hAnsi="Times New Roman" w:eastAsia="宋体" w:cs="Times New Roman"/>
      <w:kern w:val="0"/>
      <w:sz w:val="20"/>
      <w:szCs w:val="21"/>
      <w:lang w:val="en-US" w:eastAsia="zh-CN" w:bidi="ar-SA"/>
    </w:rPr>
  </w:style>
  <w:style w:type="paragraph" w:customStyle="1" w:styleId="19">
    <w:name w:val="列出段落2"/>
    <w:basedOn w:val="1"/>
    <w:link w:val="18"/>
    <w:qFormat/>
    <w:uiPriority w:val="34"/>
    <w:pPr>
      <w:ind w:firstLine="420" w:firstLineChars="200"/>
    </w:pPr>
    <w:rPr>
      <w:rFonts w:ascii="Times New Roman" w:hAnsi="Times New Roman"/>
      <w:kern w:val="0"/>
      <w:sz w:val="20"/>
      <w:szCs w:val="21"/>
    </w:rPr>
  </w:style>
  <w:style w:type="character" w:customStyle="1" w:styleId="20">
    <w:name w:val="批注框文本 字符"/>
    <w:basedOn w:val="11"/>
    <w:link w:val="5"/>
    <w:semiHidden/>
    <w:qFormat/>
    <w:uiPriority w:val="99"/>
    <w:rPr>
      <w:rFonts w:ascii="Calibri" w:hAnsi="Calibri" w:eastAsia="宋体" w:cs="Times New Roman"/>
      <w:kern w:val="2"/>
      <w:sz w:val="18"/>
      <w:szCs w:val="18"/>
    </w:rPr>
  </w:style>
  <w:style w:type="character" w:customStyle="1" w:styleId="21">
    <w:name w:val="批注文字 字符"/>
    <w:basedOn w:val="11"/>
    <w:link w:val="3"/>
    <w:semiHidden/>
    <w:qFormat/>
    <w:uiPriority w:val="99"/>
    <w:rPr>
      <w:rFonts w:ascii="Calibri" w:hAnsi="Calibri" w:eastAsia="宋体" w:cs="Times New Roman"/>
      <w:kern w:val="2"/>
      <w:sz w:val="21"/>
      <w:szCs w:val="22"/>
    </w:rPr>
  </w:style>
  <w:style w:type="character" w:customStyle="1" w:styleId="22">
    <w:name w:val="批注主题 字符"/>
    <w:basedOn w:val="21"/>
    <w:link w:val="9"/>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28</Pages>
  <Words>2085</Words>
  <Characters>11890</Characters>
  <Lines>99</Lines>
  <Paragraphs>27</Paragraphs>
  <TotalTime>72</TotalTime>
  <ScaleCrop>false</ScaleCrop>
  <LinksUpToDate>false</LinksUpToDate>
  <CharactersWithSpaces>13948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2017-07-01T07:30:00Z</dcterms:created>
  <dc:creator>正文部分</dc:creator>
  <cp:lastModifiedBy>娇娇</cp:lastModifiedBy>
  <dcterms:modified xsi:type="dcterms:W3CDTF">2025-07-22T09:25:41Z</dcterms:modified>
  <dc:title>中信建投期货公司文件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2045637EDA4E4D6C8676E73981122872_13</vt:lpwstr>
  </property>
  <property fmtid="{D5CDD505-2E9C-101B-9397-08002B2CF9AE}" pid="4" name="抄送">
    <vt:lpwstr>抄送</vt:lpwstr>
  </property>
  <property fmtid="{D5CDD505-2E9C-101B-9397-08002B2CF9AE}" pid="5" name="抄报">
    <vt:lpwstr>抄报</vt:lpwstr>
  </property>
  <property fmtid="{D5CDD505-2E9C-101B-9397-08002B2CF9AE}" pid="6" name="打字">
    <vt:lpwstr>打字</vt:lpwstr>
  </property>
  <property fmtid="{D5CDD505-2E9C-101B-9397-08002B2CF9AE}" pid="7" name="校对">
    <vt:lpwstr>校对</vt:lpwstr>
  </property>
  <property fmtid="{D5CDD505-2E9C-101B-9397-08002B2CF9AE}" pid="8" name="印发日期">
    <vt:lpwstr>印发日期</vt:lpwstr>
  </property>
  <property fmtid="{D5CDD505-2E9C-101B-9397-08002B2CF9AE}" pid="9" name="发文部门">
    <vt:lpwstr>发文部门</vt:lpwstr>
  </property>
</Properties>
</file>